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240"/>
        <w:jc w:val="center"/>
      </w:pPr>
      <w:r>
        <w:rPr>
          <w:rFonts w:ascii="Times New Roman" w:cs="Times New Roman" w:eastAsia="Times New Roman" w:hAnsi="Times New Roman"/>
          <w:b/>
          <w:bCs/>
          <w:i w:val="false"/>
          <w:iCs w:val="false"/>
          <w:caps w:val="false"/>
          <w:sz w:val="24"/>
          <w:szCs w:val="24"/>
        </w:rPr>
        <w:t xml:space="preserve">TECHNICAL UNIVERSITY OF CLUJ-NAPOCA</w:t>
      </w:r>
    </w:p>
    <w:p>
      <w:pPr>
        <w:spacing w:line="240"/>
      </w:pPr>
      <w:r>
        <w:rPr>
          <w:rFonts w:ascii="Times New Roman" w:cs="Times New Roman" w:eastAsia="Times New Roman" w:hAnsi="Times New Roman"/>
          <w:sz w:val="20"/>
          <w:szCs w:val="20"/>
        </w:rPr>
        <w:t xml:space="preserve"/>
      </w:r>
    </w:p>
    <w:p>
      <w:pPr>
        <w:spacing w:after="0" w:before="0" w:line="240"/>
        <w:jc w:val="center"/>
      </w:pPr>
      <w:r>
        <w:rPr>
          <w:rFonts w:ascii="Times New Roman" w:cs="Times New Roman" w:eastAsia="Times New Roman" w:hAnsi="Times New Roman"/>
          <w:b/>
          <w:bCs/>
          <w:i/>
          <w:iCs/>
          <w:caps w:val="false"/>
          <w:sz w:val="28"/>
          <w:szCs w:val="28"/>
        </w:rPr>
        <w:t xml:space="preserve">ACTA TECHNICA NAPOCENSIS</w:t>
      </w:r>
    </w:p>
    <w:p>
      <w:pPr>
        <w:spacing w:after="0" w:before="0" w:line="240"/>
        <w:jc w:val="center"/>
      </w:pPr>
      <w:r>
        <w:rPr>
          <w:rFonts w:ascii="Times New Roman" w:cs="Times New Roman" w:eastAsia="Times New Roman" w:hAnsi="Times New Roman"/>
          <w:b w:val="false"/>
          <w:bCs w:val="false"/>
          <w:i/>
          <w:iCs/>
          <w:caps w:val="false"/>
          <w:sz w:val="22"/>
          <w:szCs w:val="22"/>
        </w:rPr>
        <w:t xml:space="preserve">Series: Applied Mathematics, Mechanics and Engineering</w:t>
      </w:r>
    </w:p>
    <w:p>
      <w:pPr>
        <w:spacing w:after="0" w:before="0" w:line="240"/>
        <w:jc w:val="center"/>
      </w:pPr>
      <w:r>
        <w:rPr>
          <w:rFonts w:ascii="Times New Roman" w:cs="Times New Roman" w:eastAsia="Times New Roman" w:hAnsi="Times New Roman"/>
          <w:b w:val="false"/>
          <w:bCs w:val="false"/>
          <w:i/>
          <w:iCs/>
          <w:caps w:val="false"/>
          <w:sz w:val="20"/>
          <w:szCs w:val="20"/>
        </w:rPr>
        <w:t xml:space="preserve">Vol. XX, Issue xx, Month, 20xx</w:t>
      </w:r>
    </w:p>
    <w:p>
      <w:pPr>
        <w:spacing w:line="240"/>
      </w:pPr>
      <w:r>
        <w:rPr>
          <w:rFonts w:ascii="Times New Roman" w:cs="Times New Roman" w:eastAsia="Times New Roman" w:hAnsi="Times New Roman"/>
          <w:sz w:val="24"/>
          <w:szCs w:val="24"/>
        </w:rPr>
        <w:t xml:space="preserve"/>
      </w:r>
    </w:p>
    <w:p>
      <w:pPr>
        <w:spacing w:line="240"/>
      </w:pPr>
      <w:r>
        <w:rPr>
          <w:rFonts w:ascii="Times New Roman" w:cs="Times New Roman" w:eastAsia="Times New Roman" w:hAnsi="Times New Roman"/>
          <w:sz w:val="24"/>
          <w:szCs w:val="24"/>
        </w:rPr>
        <w:t xml:space="preserve"/>
      </w:r>
    </w:p>
    <w:p>
      <w:pPr>
        <w:spacing w:after="0" w:before="0" w:line="240"/>
        <w:jc w:val="center"/>
      </w:pPr>
      <w:r>
        <w:rPr>
          <w:rFonts w:ascii="Times New Roman" w:cs="Times New Roman" w:eastAsia="Times New Roman" w:hAnsi="Times New Roman"/>
          <w:b/>
          <w:bCs/>
          <w:i w:val="false"/>
          <w:iCs w:val="false"/>
          <w:caps w:val="false"/>
          <w:sz w:val="24"/>
          <w:szCs w:val="24"/>
        </w:rPr>
        <w:t xml:space="preserve">AI-DRIVEN RESILIENCE: OPTIMIZING LARGE INDUSTRIAL PORTFOLIOS IN THE ERA OF ENGINEERING MANAGEMENT 5.0</w:t>
      </w:r>
    </w:p>
    <w:p>
      <w:pPr>
        <w:spacing w:line="240"/>
      </w:pPr>
      <w:r>
        <w:rPr>
          <w:rFonts w:ascii="Times New Roman" w:cs="Times New Roman" w:eastAsia="Times New Roman" w:hAnsi="Times New Roman"/>
          <w:sz w:val="24"/>
          <w:szCs w:val="24"/>
        </w:rPr>
        <w:t xml:space="preserve"/>
      </w:r>
    </w:p>
    <w:p>
      <w:pPr>
        <w:spacing w:after="0" w:before="0" w:line="240"/>
        <w:jc w:val="center"/>
      </w:pPr>
      <w:r>
        <w:rPr>
          <w:rFonts w:ascii="Times New Roman" w:cs="Times New Roman" w:eastAsia="Times New Roman" w:hAnsi="Times New Roman"/>
          <w:b/>
          <w:bCs/>
          <w:i w:val="false"/>
          <w:iCs w:val="false"/>
          <w:caps w:val="false"/>
          <w:sz w:val="24"/>
          <w:szCs w:val="24"/>
        </w:rPr>
        <w:t xml:space="preserve">Alexandru-Silviu GOGA, Mircea BOȘCOIANU</w:t>
      </w:r>
    </w:p>
    <w:p>
      <w:pPr>
        <w:spacing w:line="240"/>
      </w:pPr>
      <w:r>
        <w:rPr>
          <w:rFonts w:ascii="Times New Roman" w:cs="Times New Roman" w:eastAsia="Times New Roman" w:hAnsi="Times New Roman"/>
          <w:sz w:val="24"/>
          <w:szCs w:val="24"/>
        </w:rPr>
        <w:t xml:space="preserve"/>
      </w:r>
    </w:p>
    <w:p>
      <w:pPr>
        <w:spacing w:after="80" w:before="80" w:line="240"/>
        <w:jc w:val="both"/>
      </w:pPr>
      <w:r>
        <w:rPr>
          <w:rFonts w:ascii="Times New Roman" w:cs="Times New Roman" w:eastAsia="Times New Roman" w:hAnsi="Times New Roman"/>
          <w:b/>
          <w:bCs/>
          <w:i/>
          <w:iCs/>
          <w:sz w:val="20"/>
          <w:szCs w:val="20"/>
        </w:rPr>
        <w:t xml:space="preserve">Abstract: </w:t>
      </w:r>
      <w:r>
        <w:rPr>
          <w:rFonts w:ascii="Times New Roman" w:cs="Times New Roman" w:eastAsia="Times New Roman" w:hAnsi="Times New Roman"/>
          <w:i/>
          <w:iCs/>
          <w:sz w:val="20"/>
          <w:szCs w:val="20"/>
        </w:rPr>
        <w:t xml:space="preserve">The accelerating complexity of large industrial asset portfolios demands decision-support frameworks that transcend traditional optimization paradigms. This paper proposes the Industrial Portfolio AI Optimizer (IPAO) — a hybrid framework integrating multi-objective optimization (NSGA-II), Monte Carlo simulation, and Analytic Hierarchy Process (AHP) weighting — for industrial asset allocation under uncertainty. Validated on a synthetic 48-asset energy portfolio, IPAO yields a 29.2% gain in composite performance over mean-variance optimization, a 65.8% improvement in ESG compliance, and a 34.2% reduction in tail risk (VaR95). Embedded SHAP-based explainability satisfies governance requirements under the EU AI Act. The framework operationalizes the Industry 5.0 triad — technology, sustainability, and human-centricity — within a single auditable architecture for engineering management.</w:t>
      </w:r>
    </w:p>
    <w:p>
      <w:pPr>
        <w:spacing w:after="80" w:before="80" w:line="240"/>
        <w:jc w:val="both"/>
      </w:pPr>
      <w:r>
        <w:rPr>
          <w:rFonts w:ascii="Times New Roman" w:cs="Times New Roman" w:eastAsia="Times New Roman" w:hAnsi="Times New Roman"/>
          <w:b/>
          <w:bCs/>
          <w:i/>
          <w:iCs/>
          <w:sz w:val="20"/>
          <w:szCs w:val="20"/>
        </w:rPr>
        <w:t xml:space="preserve">Key words: </w:t>
      </w:r>
      <w:r>
        <w:rPr>
          <w:rFonts w:ascii="Times New Roman" w:cs="Times New Roman" w:eastAsia="Times New Roman" w:hAnsi="Times New Roman"/>
          <w:i/>
          <w:iCs/>
          <w:sz w:val="20"/>
          <w:szCs w:val="20"/>
        </w:rPr>
        <w:t xml:space="preserve">industrial portfolio optimization, Industry 5.0, multi-objective optimization, Monte Carlo simulation, explainable AI, ESG integration, human-AI collaboration.</w:t>
      </w:r>
    </w:p>
    <w:p>
      <w:pPr>
        <w:spacing w:line="240"/>
      </w:pPr>
      <w:r>
        <w:rPr>
          <w:rFonts w:ascii="Times New Roman" w:cs="Times New Roman" w:eastAsia="Times New Roman" w:hAnsi="Times New Roman"/>
          <w:sz w:val="24"/>
          <w:szCs w:val="24"/>
        </w:rPr>
        <w:t xml:space="preserve"/>
      </w:r>
    </w:p>
    <w:p>
      <w:pPr>
        <w:sectPr>
          <w:pgSz w:w="11906" w:h="16838" w:orient="portrait"/>
          <w:pgMar w:top="1417" w:right="850" w:bottom="1417" w:left="1417" w:header="1190" w:footer="708" w:gutter="0"/>
          <w:pgNumType/>
          <w:cols w:space="0" w:num="1"/>
          <w:docGrid w:linePitch="360"/>
        </w:sectPr>
      </w:pPr>
    </w:p>
    <w:p>
      <w:pPr>
        <w:spacing w:after="120" w:before="200" w:line="240"/>
        <w:jc w:val="left"/>
      </w:pPr>
      <w:r>
        <w:rPr>
          <w:rFonts w:ascii="Times New Roman" w:cs="Times New Roman" w:eastAsia="Times New Roman" w:hAnsi="Times New Roman"/>
          <w:b/>
          <w:bCs/>
          <w:caps w:val="false"/>
          <w:sz w:val="24"/>
          <w:szCs w:val="24"/>
        </w:rPr>
        <w:t xml:space="preserve">1. INTRODUCTION</w:t>
      </w:r>
    </w:p>
    <w:p>
      <w:pPr>
        <w:spacing w:after="0" w:before="0" w:line="240"/>
        <w:jc w:val="both"/>
      </w:pPr>
      <w:r>
        <w:rPr>
          <w:rFonts w:ascii="Times New Roman" w:cs="Times New Roman" w:eastAsia="Times New Roman" w:hAnsi="Times New Roman"/>
          <w:sz w:val="24"/>
          <w:szCs w:val="24"/>
        </w:rPr>
        <w:t xml:space="preserve">The management of large industrial asset portfolios has entered an era of unprecedented complexity. Contemporary industrial organizations — particularly those operating in energy generation, heavy manufacturing, and multimodal logistics — routinely oversee portfolios comprising hundreds of heterogeneous assets, each characterized by distinct depreciation curves, operational risk profiles, maintenance schedules, regulatory exposure, and sustainability footprints [1]. A single mid-size European utility now reports between 200 and 600 generation, transmission, and storage assets across its books, each generating real-time telemetry, financial flows, and compliance disclosures. Traditional decision-support methodologies — Markowitz mean-variance optimization, deterministic scoring matrices, and weighted-average heuristics — were designed for environments of relative stability and data scarcity, and increasingly fail to capture the multi-dimensional nature of portfolio risk and value in such contexts [2].</w:t>
      </w:r>
    </w:p>
    <w:p>
      <w:pPr>
        <w:spacing w:after="0" w:before="0" w:line="240"/>
        <w:jc w:val="both"/>
      </w:pPr>
      <w:r>
        <w:rPr>
          <w:rFonts w:ascii="Times New Roman" w:cs="Times New Roman" w:eastAsia="Times New Roman" w:hAnsi="Times New Roman"/>
          <w:sz w:val="24"/>
          <w:szCs w:val="24"/>
        </w:rPr>
        <w:t xml:space="preserve">The emergence of Industry 5.0 as a conceptual and operational paradigm signals a fundamental recalibration of industrial priorities. Whereas Industry 4.0 centered on digital transformation, automation efficiency, and cyber-physical integration, Industry 5.0 introduces a tripartite imperative: advanced technological integration, environmental sustainability, and human-centricity [3]. Engineering management in this context must reconcile the computational power of artificial intelligence with the irreplaceable contextual judgment of human operators, balancing optimization imperatives with ESG (Environmental, Social, Governance) compliance obligations now embedded in European regulatory frameworks such as the Corporate Sustainability Reporting Directive (CSRD) and the EU Taxonomy for Sustainable Finance [9].</w:t>
      </w:r>
    </w:p>
    <w:p>
      <w:pPr>
        <w:spacing w:after="0" w:before="0" w:line="240"/>
        <w:jc w:val="both"/>
      </w:pPr>
      <w:r>
        <w:rPr>
          <w:rFonts w:ascii="Times New Roman" w:cs="Times New Roman" w:eastAsia="Times New Roman" w:hAnsi="Times New Roman"/>
          <w:sz w:val="24"/>
          <w:szCs w:val="24"/>
        </w:rPr>
        <w:t xml:space="preserve">A specific lacuna motivates the present research: the absence of a computationally tractable, ethically auditable, and Industry 5.0-aligned optimization framework capable of managing large industrial portfolios holistically. Existing approaches optimize for single or dual objectives, ignore ESG constraints, or deploy opaque deep-learning architectures incompatible with the transparency and human-oversight requirements of emerging AI governance regulations, including the EU AI Act [16]. The central research question is whether a modular, hybrid AI framework can simultaneously optimize financial performance, operational risk, and ESG compliance in a large industrial portfolio while preserving meaningful human oversight and regulatory auditability. The research proceeds through four stages: (i) literature synthesis and gap identification; (ii) framework design with formal mathematical specification; (iii) computational validation on a synthetic energy-sector portfolio; and (iv) comparative benchmarking against three baseline allocation methods. The remainder of the paper is structured as follows: Section 2 reviews the state of the art; Section 3 details the proposed methodology; Section 4 presents results and a case study; Section 5 discusses implications; Section 6 concludes with contributions and future directions.</w:t>
      </w:r>
    </w:p>
    <w:p>
      <w:pPr>
        <w:spacing w:after="120" w:before="200" w:line="240"/>
        <w:jc w:val="left"/>
      </w:pPr>
      <w:r>
        <w:rPr>
          <w:rFonts w:ascii="Times New Roman" w:cs="Times New Roman" w:eastAsia="Times New Roman" w:hAnsi="Times New Roman"/>
          <w:b/>
          <w:bCs/>
          <w:caps w:val="false"/>
          <w:sz w:val="24"/>
          <w:szCs w:val="24"/>
        </w:rPr>
        <w:t xml:space="preserve">2. STATE OF THE ART</w:t>
      </w:r>
    </w:p>
    <w:p>
      <w:pPr>
        <w:spacing w:after="0" w:before="0" w:line="240"/>
        <w:jc w:val="both"/>
      </w:pPr>
      <w:r>
        <w:rPr>
          <w:rFonts w:ascii="Times New Roman" w:cs="Times New Roman" w:eastAsia="Times New Roman" w:hAnsi="Times New Roman"/>
          <w:sz w:val="24"/>
          <w:szCs w:val="24"/>
        </w:rPr>
        <w:t xml:space="preserve">The application of AI and data-driven methods to industrial asset management has grown substantially since the mid-2010s. Reinforcement learning (RL) approaches have demonstrated adaptive capacity in maintenance scheduling and condition-based monitoring [4], enabling policies that dynamically balance inspection cost against failure risk across large asset fleets. Deep neural networks, particularly convolutional and recurrent architectures, have been applied to predictive failure analysis and anomaly detection in manufacturing contexts, achieving classification accuracies that outperform traditional statistical process control [5]. At the portfolio level, evolutionary algorithms have been deployed for multi-criterion resource allocation: genetic algorithms balance maintenance budgets across interconnected assets, while particle swarm optimization addresses scheduling conflicts in parallel production systems [6, 7]. More recently, graph neural networks have been proposed for modeling dependency structures among interconnected industrial assets, enabling portfolio-level risk propagation analysis [8].</w:t>
      </w:r>
    </w:p>
    <w:p>
      <w:pPr>
        <w:spacing w:after="0" w:before="0" w:line="240"/>
        <w:jc w:val="both"/>
      </w:pPr>
      <w:r>
        <w:rPr>
          <w:rFonts w:ascii="Times New Roman" w:cs="Times New Roman" w:eastAsia="Times New Roman" w:hAnsi="Times New Roman"/>
          <w:b w:val="false"/>
          <w:bCs w:val="false"/>
          <w:i w:val="false"/>
          <w:iCs w:val="false"/>
          <w:sz w:val="24"/>
          <w:szCs w:val="24"/>
        </w:rPr>
        <w:t xml:space="preserve">Three structural gaps persist. First, </w:t>
      </w:r>
      <w:r>
        <w:rPr>
          <w:rFonts w:ascii="Times New Roman" w:cs="Times New Roman" w:eastAsia="Times New Roman" w:hAnsi="Times New Roman"/>
          <w:b/>
          <w:bCs/>
          <w:i w:val="false"/>
          <w:iCs w:val="false"/>
          <w:sz w:val="24"/>
          <w:szCs w:val="24"/>
        </w:rPr>
        <w:t xml:space="preserve">dimensional incompleteness</w:t>
      </w:r>
      <w:r>
        <w:rPr>
          <w:rFonts w:ascii="Times New Roman" w:cs="Times New Roman" w:eastAsia="Times New Roman" w:hAnsi="Times New Roman"/>
          <w:b w:val="false"/>
          <w:bCs w:val="false"/>
          <w:i w:val="false"/>
          <w:iCs w:val="false"/>
          <w:sz w:val="24"/>
          <w:szCs w:val="24"/>
        </w:rPr>
        <w:t xml:space="preserve">: existing models predominantly optimize for single-objective or bi-objective functions — typically cost minimization combined with reliability maximization — without incorporating the multi-dimensional ESG metrics now mandated by European regulatory instruments [9]. The omission of sustainability objectives from optimization formulations creates systematic misalignment between algorithmically optimal portfolios and the increasingly stringent reporting obligations faced by industrial operators. Second, </w:t>
      </w:r>
      <w:r>
        <w:rPr>
          <w:rFonts w:ascii="Times New Roman" w:cs="Times New Roman" w:eastAsia="Times New Roman" w:hAnsi="Times New Roman"/>
          <w:b/>
          <w:bCs/>
          <w:i w:val="false"/>
          <w:iCs w:val="false"/>
          <w:sz w:val="24"/>
          <w:szCs w:val="24"/>
        </w:rPr>
        <w:t xml:space="preserve">opacity</w:t>
      </w:r>
      <w:r>
        <w:rPr>
          <w:rFonts w:ascii="Times New Roman" w:cs="Times New Roman" w:eastAsia="Times New Roman" w:hAnsi="Times New Roman"/>
          <w:b w:val="false"/>
          <w:bCs w:val="false"/>
          <w:i w:val="false"/>
          <w:iCs w:val="false"/>
          <w:sz w:val="24"/>
          <w:szCs w:val="24"/>
        </w:rPr>
        <w:t xml:space="preserve">: deep-learning architectures pose significant governance and compliance barriers in industrial settings where decisions affect workforce conditions, environmental impact, and public infrastructure; algorithmic outputs must be auditable, contestable, and explainable to regulatory authorities and stakeholder groups [10]. Explainable AI (XAI) has emerged as a response, yet its integration into operational portfolio optimization frameworks remains nascent. Third, </w:t>
      </w:r>
      <w:r>
        <w:rPr>
          <w:rFonts w:ascii="Times New Roman" w:cs="Times New Roman" w:eastAsia="Times New Roman" w:hAnsi="Times New Roman"/>
          <w:b/>
          <w:bCs/>
          <w:i w:val="false"/>
          <w:iCs w:val="false"/>
          <w:sz w:val="24"/>
          <w:szCs w:val="24"/>
        </w:rPr>
        <w:t xml:space="preserve">human displacement</w:t>
      </w:r>
      <w:r>
        <w:rPr>
          <w:rFonts w:ascii="Times New Roman" w:cs="Times New Roman" w:eastAsia="Times New Roman" w:hAnsi="Times New Roman"/>
          <w:b w:val="false"/>
          <w:bCs w:val="false"/>
          <w:i w:val="false"/>
          <w:iCs w:val="false"/>
          <w:sz w:val="24"/>
          <w:szCs w:val="24"/>
        </w:rPr>
        <w:t xml:space="preserve">: the human-centricity dimension of Industry 5.0 remains largely theoretical; few frameworks define explicit, operationalizable mechanisms for human-AI interaction in high-stakes asset allocation decisions [11].</w:t>
      </w:r>
    </w:p>
    <w:p>
      <w:pPr>
        <w:spacing w:after="0" w:before="0" w:line="240"/>
        <w:jc w:val="both"/>
      </w:pPr>
      <w:r>
        <w:rPr>
          <w:rFonts w:ascii="Times New Roman" w:cs="Times New Roman" w:eastAsia="Times New Roman" w:hAnsi="Times New Roman"/>
          <w:sz w:val="24"/>
          <w:szCs w:val="24"/>
        </w:rPr>
        <w:t xml:space="preserve">Two methodological traditions offer promising foundations. The Analytic Hierarchy Process (AHP), developed by Saaty [12], provides a structured, mathematically grounded approach to multi-criteria decision-making through pairwise comparison matrices that elicit and formalize expert judgment, yielding priority vectors validated by consistency ratio analysis. Monte Carlo simulation has been widely applied in financial risk engineering [13] and is increasingly used in industrial reliability analysis to propagate parameter uncertainty through complex performance models [14]. The combination of multi-objective optimization with simulation-based risk assessment and expert-driven weighting represents a methodologically coherent and practically deployable direction; yet its integrated application to comprehensive industrial portfolio frameworks aligned with Industry 5.0 has not, to the knowledge of the authors, been systematically proposed or validated in the published literature.</w:t>
      </w:r>
    </w:p>
    <w:p>
      <w:pPr>
        <w:spacing w:after="120" w:before="200" w:line="240"/>
        <w:jc w:val="left"/>
      </w:pPr>
      <w:r>
        <w:rPr>
          <w:rFonts w:ascii="Times New Roman" w:cs="Times New Roman" w:eastAsia="Times New Roman" w:hAnsi="Times New Roman"/>
          <w:b/>
          <w:bCs/>
          <w:caps w:val="false"/>
          <w:sz w:val="24"/>
          <w:szCs w:val="24"/>
        </w:rPr>
        <w:t xml:space="preserve">3. METHODOLOGY</w:t>
      </w:r>
    </w:p>
    <w:p>
      <w:pPr>
        <w:spacing w:after="0" w:before="0" w:line="240"/>
        <w:jc w:val="both"/>
      </w:pPr>
      <w:r>
        <w:rPr>
          <w:rFonts w:ascii="Times New Roman" w:cs="Times New Roman" w:eastAsia="Times New Roman" w:hAnsi="Times New Roman"/>
          <w:b w:val="false"/>
          <w:bCs w:val="false"/>
          <w:i w:val="false"/>
          <w:iCs w:val="false"/>
          <w:sz w:val="24"/>
          <w:szCs w:val="24"/>
        </w:rPr>
        <w:t xml:space="preserve">The proposed framework — designated the Industrial Portfolio AI Optimizer (IPAO) — operates through four sequential, independently auditable modules (Fig. 1). The architecture is modular, so individual components can be replaced, recalibrated, or subjected to independent audit without disrupting the optimization pipeline — a design principle reflecting both practical engineering governance requirements and the human-oversight mandates of the EU AI Act [16]. The four modules map directly onto the Industry 5.0 triad: data normalization and the optimization engine instantiate the </w:t>
      </w:r>
      <w:r>
        <w:rPr>
          <w:rFonts w:ascii="Times New Roman" w:cs="Times New Roman" w:eastAsia="Times New Roman" w:hAnsi="Times New Roman"/>
          <w:b w:val="false"/>
          <w:bCs w:val="false"/>
          <w:i/>
          <w:iCs/>
          <w:sz w:val="24"/>
          <w:szCs w:val="24"/>
        </w:rPr>
        <w:t xml:space="preserve">technology</w:t>
      </w:r>
      <w:r>
        <w:rPr>
          <w:rFonts w:ascii="Times New Roman" w:cs="Times New Roman" w:eastAsia="Times New Roman" w:hAnsi="Times New Roman"/>
          <w:b w:val="false"/>
          <w:bCs w:val="false"/>
          <w:i w:val="false"/>
          <w:iCs w:val="false"/>
          <w:sz w:val="24"/>
          <w:szCs w:val="24"/>
        </w:rPr>
        <w:t xml:space="preserve"> pillar; the ESG criterion cluster enforces the </w:t>
      </w:r>
      <w:r>
        <w:rPr>
          <w:rFonts w:ascii="Times New Roman" w:cs="Times New Roman" w:eastAsia="Times New Roman" w:hAnsi="Times New Roman"/>
          <w:b w:val="false"/>
          <w:bCs w:val="false"/>
          <w:i/>
          <w:iCs/>
          <w:sz w:val="24"/>
          <w:szCs w:val="24"/>
        </w:rPr>
        <w:t xml:space="preserve">sustainability</w:t>
      </w:r>
      <w:r>
        <w:rPr>
          <w:rFonts w:ascii="Times New Roman" w:cs="Times New Roman" w:eastAsia="Times New Roman" w:hAnsi="Times New Roman"/>
          <w:b w:val="false"/>
          <w:bCs w:val="false"/>
          <w:i w:val="false"/>
          <w:iCs w:val="false"/>
          <w:sz w:val="24"/>
          <w:szCs w:val="24"/>
        </w:rPr>
        <w:t xml:space="preserve"> pillar; and AHP elicitation together with Pareto-frontier interaction operationalize the </w:t>
      </w:r>
      <w:r>
        <w:rPr>
          <w:rFonts w:ascii="Times New Roman" w:cs="Times New Roman" w:eastAsia="Times New Roman" w:hAnsi="Times New Roman"/>
          <w:b w:val="false"/>
          <w:bCs w:val="false"/>
          <w:i/>
          <w:iCs/>
          <w:sz w:val="24"/>
          <w:szCs w:val="24"/>
        </w:rPr>
        <w:t xml:space="preserve">human-centricity</w:t>
      </w:r>
      <w:r>
        <w:rPr>
          <w:rFonts w:ascii="Times New Roman" w:cs="Times New Roman" w:eastAsia="Times New Roman" w:hAnsi="Times New Roman"/>
          <w:b w:val="false"/>
          <w:bCs w:val="false"/>
          <w:i w:val="false"/>
          <w:iCs w:val="false"/>
          <w:sz w:val="24"/>
          <w:szCs w:val="24"/>
        </w:rPr>
        <w:t xml:space="preserve"> pillar.</w:t>
      </w:r>
    </w:p>
    <w:p>
      <w:pPr>
        <w:spacing w:after="60" w:before="120" w:line="240"/>
        <w:jc w:val="center"/>
      </w:pPr>
      <w:r>
        <w:rPr>
          <w:rFonts w:ascii="Times New Roman" w:cs="Times New Roman" w:eastAsia="Times New Roman" w:hAnsi="Times New Roman"/>
          <w:i/>
          <w:iCs/>
          <w:sz w:val="20"/>
          <w:szCs w:val="20"/>
        </w:rPr>
        <w:t xml:space="preserve">[ Fig. 1 — IPAO architecture: four-module pipeline showing data flow from asset inventory → AHP expert elicitation → NSGA-II optimization → Monte Carlo risk validation → human decision interface ]</w:t>
      </w:r>
    </w:p>
    <w:p>
      <w:pPr>
        <w:spacing w:after="120" w:before="60" w:line="240"/>
        <w:jc w:val="center"/>
      </w:pPr>
      <w:r>
        <w:rPr>
          <w:rFonts w:ascii="Times New Roman" w:cs="Times New Roman" w:eastAsia="Times New Roman" w:hAnsi="Times New Roman"/>
          <w:b/>
          <w:bCs/>
          <w:sz w:val="20"/>
          <w:szCs w:val="20"/>
        </w:rPr>
        <w:t xml:space="preserve">Fig. 1. </w:t>
      </w:r>
      <w:r>
        <w:rPr>
          <w:rFonts w:ascii="Times New Roman" w:cs="Times New Roman" w:eastAsia="Times New Roman" w:hAnsi="Times New Roman"/>
          <w:sz w:val="20"/>
          <w:szCs w:val="20"/>
        </w:rPr>
        <w:t xml:space="preserve">IPAO four-module architecture and human-AI interaction loop.</w:t>
      </w:r>
    </w:p>
    <w:p>
      <w:pPr>
        <w:spacing w:after="80" w:before="160" w:line="240"/>
        <w:jc w:val="left"/>
      </w:pPr>
      <w:r>
        <w:rPr>
          <w:rFonts w:ascii="Times New Roman" w:cs="Times New Roman" w:eastAsia="Times New Roman" w:hAnsi="Times New Roman"/>
          <w:b/>
          <w:bCs/>
          <w:sz w:val="24"/>
          <w:szCs w:val="24"/>
        </w:rPr>
        <w:t xml:space="preserve">3.1 Asset Classification and Data Normalization</w:t>
      </w:r>
    </w:p>
    <w:p>
      <w:pPr>
        <w:spacing w:after="0" w:before="0" w:line="240"/>
        <w:jc w:val="both"/>
      </w:pPr>
      <w:r>
        <w:rPr>
          <w:rFonts w:ascii="Times New Roman" w:cs="Times New Roman" w:eastAsia="Times New Roman" w:hAnsi="Times New Roman"/>
          <w:b w:val="false"/>
          <w:bCs w:val="false"/>
          <w:i w:val="false"/>
          <w:iCs w:val="false"/>
          <w:sz w:val="24"/>
          <w:szCs w:val="24"/>
        </w:rPr>
        <w:t xml:space="preserve">The input layer ingests a standardized data matrix </w:t>
      </w:r>
      <w:r>
        <w:rPr>
          <w:rFonts w:ascii="Times New Roman" w:cs="Times New Roman" w:eastAsia="Times New Roman" w:hAnsi="Times New Roman"/>
          <w:i/>
          <w:iCs/>
          <w:sz w:val="24"/>
          <w:szCs w:val="24"/>
        </w:rPr>
        <w:t xml:space="preserve">D</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d</w:t>
      </w:r>
      <w:r>
        <w:rPr>
          <w:rFonts w:ascii="Times New Roman" w:cs="Times New Roman" w:eastAsia="Times New Roman" w:hAnsi="Times New Roman"/>
          <w:i/>
          <w:iCs/>
          <w:sz w:val="24"/>
          <w:szCs w:val="24"/>
          <w:vertAlign w:val="subscript"/>
        </w:rPr>
        <w:t xml:space="preserve">ij</w:t>
      </w:r>
      <w:r>
        <w:rPr>
          <w:rFonts w:ascii="Times New Roman" w:cs="Times New Roman" w:eastAsia="Times New Roman" w:hAnsi="Times New Roman"/>
          <w:b w:val="false"/>
          <w:bCs w:val="false"/>
          <w:i w:val="false"/>
          <w:iCs w:val="false"/>
          <w:sz w:val="24"/>
          <w:szCs w:val="24"/>
        </w:rPr>
        <w:t xml:space="preserve">}, where rows represent individual assets (</w:t>
      </w:r>
      <w:r>
        <w:rPr>
          <w:rFonts w:ascii="Times New Roman" w:cs="Times New Roman" w:eastAsia="Times New Roman" w:hAnsi="Times New Roman"/>
          <w:i/>
          <w:iCs/>
          <w:sz w:val="24"/>
          <w:szCs w:val="24"/>
        </w:rPr>
        <w:t xml:space="preserve">i</w:t>
      </w:r>
      <w:r>
        <w:rPr>
          <w:rFonts w:ascii="Times New Roman" w:cs="Times New Roman" w:eastAsia="Times New Roman" w:hAnsi="Times New Roman"/>
          <w:b w:val="false"/>
          <w:bCs w:val="false"/>
          <w:i w:val="false"/>
          <w:iCs w:val="false"/>
          <w:sz w:val="24"/>
          <w:szCs w:val="24"/>
        </w:rPr>
        <w:t xml:space="preserve"> = 1,…,</w:t>
      </w:r>
      <w:r>
        <w:rPr>
          <w:rFonts w:ascii="Times New Roman" w:cs="Times New Roman" w:eastAsia="Times New Roman" w:hAnsi="Times New Roman"/>
          <w:i/>
          <w:iCs/>
          <w:sz w:val="24"/>
          <w:szCs w:val="24"/>
        </w:rPr>
        <w:t xml:space="preserve">N</w:t>
      </w:r>
      <w:r>
        <w:rPr>
          <w:rFonts w:ascii="Times New Roman" w:cs="Times New Roman" w:eastAsia="Times New Roman" w:hAnsi="Times New Roman"/>
          <w:b w:val="false"/>
          <w:bCs w:val="false"/>
          <w:i w:val="false"/>
          <w:iCs w:val="false"/>
          <w:sz w:val="24"/>
          <w:szCs w:val="24"/>
        </w:rPr>
        <w:t xml:space="preserve">) and columns represent evaluation criteria (</w:t>
      </w:r>
      <w:r>
        <w:rPr>
          <w:rFonts w:ascii="Times New Roman" w:cs="Times New Roman" w:eastAsia="Times New Roman" w:hAnsi="Times New Roman"/>
          <w:i/>
          <w:iCs/>
          <w:sz w:val="24"/>
          <w:szCs w:val="24"/>
        </w:rPr>
        <w:t xml:space="preserve">j</w:t>
      </w:r>
      <w:r>
        <w:rPr>
          <w:rFonts w:ascii="Times New Roman" w:cs="Times New Roman" w:eastAsia="Times New Roman" w:hAnsi="Times New Roman"/>
          <w:b w:val="false"/>
          <w:bCs w:val="false"/>
          <w:i w:val="false"/>
          <w:iCs w:val="false"/>
          <w:sz w:val="24"/>
          <w:szCs w:val="24"/>
        </w:rPr>
        <w:t xml:space="preserve"> = 1,…,</w:t>
      </w:r>
      <w:r>
        <w:rPr>
          <w:rFonts w:ascii="Times New Roman" w:cs="Times New Roman" w:eastAsia="Times New Roman" w:hAnsi="Times New Roman"/>
          <w:i/>
          <w:iCs/>
          <w:sz w:val="24"/>
          <w:szCs w:val="24"/>
        </w:rPr>
        <w:t xml:space="preserve">M</w:t>
      </w:r>
      <w:r>
        <w:rPr>
          <w:rFonts w:ascii="Times New Roman" w:cs="Times New Roman" w:eastAsia="Times New Roman" w:hAnsi="Times New Roman"/>
          <w:b w:val="false"/>
          <w:bCs w:val="false"/>
          <w:i w:val="false"/>
          <w:iCs w:val="false"/>
          <w:sz w:val="24"/>
          <w:szCs w:val="24"/>
        </w:rPr>
        <w:t xml:space="preserve">). Criteria are organized across three principal dimensions: Financial Performance (FP), encompassing return on assets (ROA), net present value (NPV), and payback period (PP); Operational Risk (OR), including mean time between failures (MTBF), maintenance cost ratio (MCR), and regulatory compliance index (RCI); and ESG Compliance (ESG), comprising carbon intensity per unit output (CI), social impact score (SIS), and governance transparency index (GTI). Min-max normalization is applied to map all criteria onto the unit interval:</w:t>
      </w:r>
    </w:p>
    <w:p>
      <w:pPr>
        <w:tabs>
          <w:tab w:val="right" w:pos="4580"/>
        </w:tabs>
        <w:spacing w:after="120" w:before="120" w:line="240"/>
        <w:ind w:left="200"/>
        <w:jc w:val="left"/>
      </w:pPr>
      <w:r>
        <w:rPr>
          <w:rFonts w:ascii="Times New Roman" w:cs="Times New Roman" w:eastAsia="Times New Roman" w:hAnsi="Times New Roman"/>
          <w:i/>
          <w:iCs/>
          <w:sz w:val="24"/>
          <w:szCs w:val="24"/>
        </w:rPr>
        <w:t xml:space="preserve">d̃</w:t>
      </w:r>
      <w:r>
        <w:rPr>
          <w:rFonts w:ascii="Times New Roman" w:cs="Times New Roman" w:eastAsia="Times New Roman" w:hAnsi="Times New Roman"/>
          <w:i/>
          <w:iCs/>
          <w:sz w:val="24"/>
          <w:szCs w:val="24"/>
          <w:vertAlign w:val="subscript"/>
        </w:rPr>
        <w:t xml:space="preserve">ij</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d</w:t>
      </w:r>
      <w:r>
        <w:rPr>
          <w:rFonts w:ascii="Times New Roman" w:cs="Times New Roman" w:eastAsia="Times New Roman" w:hAnsi="Times New Roman"/>
          <w:i/>
          <w:iCs/>
          <w:sz w:val="24"/>
          <w:szCs w:val="24"/>
          <w:vertAlign w:val="subscript"/>
        </w:rPr>
        <w:t xml:space="preserve">ij</w:t>
      </w:r>
      <w:r>
        <w:rPr>
          <w:rFonts w:ascii="Times New Roman" w:cs="Times New Roman" w:eastAsia="Times New Roman" w:hAnsi="Times New Roman"/>
          <w:b w:val="false"/>
          <w:bCs w:val="false"/>
          <w:i w:val="false"/>
          <w:iCs w:val="false"/>
          <w:sz w:val="24"/>
          <w:szCs w:val="24"/>
        </w:rPr>
        <w:t xml:space="preserve"> − min </w:t>
      </w:r>
      <w:r>
        <w:rPr>
          <w:rFonts w:ascii="Times New Roman" w:cs="Times New Roman" w:eastAsia="Times New Roman" w:hAnsi="Times New Roman"/>
          <w:i/>
          <w:iCs/>
          <w:sz w:val="24"/>
          <w:szCs w:val="24"/>
        </w:rPr>
        <w:t xml:space="preserve">d</w:t>
      </w:r>
      <w:r>
        <w:rPr>
          <w:rFonts w:ascii="Times New Roman" w:cs="Times New Roman" w:eastAsia="Times New Roman" w:hAnsi="Times New Roman"/>
          <w:i/>
          <w:iCs/>
          <w:sz w:val="24"/>
          <w:szCs w:val="24"/>
          <w:vertAlign w:val="subscript"/>
        </w:rPr>
        <w:t xml:space="preserve">·j</w:t>
      </w:r>
      <w:r>
        <w:rPr>
          <w:rFonts w:ascii="Times New Roman" w:cs="Times New Roman" w:eastAsia="Times New Roman" w:hAnsi="Times New Roman"/>
          <w:b w:val="false"/>
          <w:bCs w:val="false"/>
          <w:i w:val="false"/>
          <w:iCs w:val="false"/>
          <w:sz w:val="24"/>
          <w:szCs w:val="24"/>
        </w:rPr>
        <w:t xml:space="preserve">) / (max </w:t>
      </w:r>
      <w:r>
        <w:rPr>
          <w:rFonts w:ascii="Times New Roman" w:cs="Times New Roman" w:eastAsia="Times New Roman" w:hAnsi="Times New Roman"/>
          <w:i/>
          <w:iCs/>
          <w:sz w:val="24"/>
          <w:szCs w:val="24"/>
        </w:rPr>
        <w:t xml:space="preserve">d</w:t>
      </w:r>
      <w:r>
        <w:rPr>
          <w:rFonts w:ascii="Times New Roman" w:cs="Times New Roman" w:eastAsia="Times New Roman" w:hAnsi="Times New Roman"/>
          <w:i/>
          <w:iCs/>
          <w:sz w:val="24"/>
          <w:szCs w:val="24"/>
          <w:vertAlign w:val="subscript"/>
        </w:rPr>
        <w:t xml:space="preserve">·j</w:t>
      </w:r>
      <w:r>
        <w:rPr>
          <w:rFonts w:ascii="Times New Roman" w:cs="Times New Roman" w:eastAsia="Times New Roman" w:hAnsi="Times New Roman"/>
          <w:b w:val="false"/>
          <w:bCs w:val="false"/>
          <w:i w:val="false"/>
          <w:iCs w:val="false"/>
          <w:sz w:val="24"/>
          <w:szCs w:val="24"/>
        </w:rPr>
        <w:t xml:space="preserve"> − min </w:t>
      </w:r>
      <w:r>
        <w:rPr>
          <w:rFonts w:ascii="Times New Roman" w:cs="Times New Roman" w:eastAsia="Times New Roman" w:hAnsi="Times New Roman"/>
          <w:i/>
          <w:iCs/>
          <w:sz w:val="24"/>
          <w:szCs w:val="24"/>
        </w:rPr>
        <w:t xml:space="preserve">d</w:t>
      </w:r>
      <w:r>
        <w:rPr>
          <w:rFonts w:ascii="Times New Roman" w:cs="Times New Roman" w:eastAsia="Times New Roman" w:hAnsi="Times New Roman"/>
          <w:i/>
          <w:iCs/>
          <w:sz w:val="24"/>
          <w:szCs w:val="24"/>
          <w:vertAlign w:val="subscript"/>
        </w:rPr>
        <w:t xml:space="preserve">·j</w:t>
      </w:r>
      <w:r>
        <w:rPr>
          <w:rFonts w:ascii="Times New Roman" w:cs="Times New Roman" w:eastAsia="Times New Roman" w:hAnsi="Times New Roman"/>
          <w:b w:val="false"/>
          <w:bCs w:val="false"/>
          <w:i w:val="false"/>
          <w:iCs w:val="false"/>
          <w:sz w:val="24"/>
          <w:szCs w:val="24"/>
        </w:rPr>
        <w:t xml:space="preserve">),</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(1)</w:t>
      </w:r>
    </w:p>
    <w:p>
      <w:pPr>
        <w:spacing w:after="0" w:before="0" w:line="240"/>
        <w:jc w:val="both"/>
      </w:pPr>
      <w:r>
        <w:rPr>
          <w:rFonts w:ascii="Times New Roman" w:cs="Times New Roman" w:eastAsia="Times New Roman" w:hAnsi="Times New Roman"/>
          <w:sz w:val="24"/>
          <w:szCs w:val="24"/>
        </w:rPr>
        <w:t xml:space="preserve">for benefit-type criteria, with the direction inverted for cost-type criteria. Missing values are imputed using k-nearest-neighbour (k-NN) interpolation based on asset-category similarity; outliers are identified via the interquartile range (IQR) method prior to normalization.</w:t>
      </w:r>
    </w:p>
    <w:p>
      <w:pPr>
        <w:spacing w:after="80" w:before="160" w:line="240"/>
        <w:jc w:val="left"/>
      </w:pPr>
      <w:r>
        <w:rPr>
          <w:rFonts w:ascii="Times New Roman" w:cs="Times New Roman" w:eastAsia="Times New Roman" w:hAnsi="Times New Roman"/>
          <w:b/>
          <w:bCs/>
          <w:sz w:val="24"/>
          <w:szCs w:val="24"/>
        </w:rPr>
        <w:t xml:space="preserve">3.2 AHP Weighting and Expert Elicitation</w:t>
      </w:r>
    </w:p>
    <w:p>
      <w:pPr>
        <w:spacing w:after="0" w:before="0" w:line="240"/>
        <w:jc w:val="both"/>
      </w:pPr>
      <w:r>
        <w:rPr>
          <w:rFonts w:ascii="Times New Roman" w:cs="Times New Roman" w:eastAsia="Times New Roman" w:hAnsi="Times New Roman"/>
          <w:b w:val="false"/>
          <w:bCs w:val="false"/>
          <w:i w:val="false"/>
          <w:iCs w:val="false"/>
          <w:sz w:val="24"/>
          <w:szCs w:val="24"/>
        </w:rPr>
        <w:t xml:space="preserve">Expert judgment is elicited through structured pairwise comparison questionnaires administered to a panel of </w:t>
      </w:r>
      <w:r>
        <w:rPr>
          <w:rFonts w:ascii="Times New Roman" w:cs="Times New Roman" w:eastAsia="Times New Roman" w:hAnsi="Times New Roman"/>
          <w:i/>
          <w:iCs/>
          <w:sz w:val="24"/>
          <w:szCs w:val="24"/>
        </w:rPr>
        <w:t xml:space="preserve">N</w:t>
      </w:r>
      <w:r>
        <w:rPr>
          <w:rFonts w:ascii="Times New Roman" w:cs="Times New Roman" w:eastAsia="Times New Roman" w:hAnsi="Times New Roman"/>
          <w:b w:val="false"/>
          <w:bCs w:val="false"/>
          <w:i w:val="false"/>
          <w:iCs w:val="false"/>
          <w:sz w:val="24"/>
          <w:szCs w:val="24"/>
        </w:rPr>
        <w:t xml:space="preserve"> = 7 domain experts — portfolio managers, sustainability compliance officers, and senior maintenance engineers. Respondents evaluate each pair of criteria within each dimension on Saaty's 1–9 intensity scale, producing individual comparison matrices for each of the three criterion clusters and for the three main dimensions relative to the composite objective. Consistency is validated by computing the Consistency Ratio:</w:t>
      </w:r>
    </w:p>
    <w:p>
      <w:pPr>
        <w:tabs>
          <w:tab w:val="right" w:pos="4580"/>
        </w:tabs>
        <w:spacing w:after="120" w:before="120" w:line="240"/>
        <w:ind w:left="200"/>
        <w:jc w:val="left"/>
      </w:pPr>
      <w:r>
        <w:rPr>
          <w:rFonts w:ascii="Times New Roman" w:cs="Times New Roman" w:eastAsia="Times New Roman" w:hAnsi="Times New Roman"/>
          <w:b w:val="false"/>
          <w:bCs w:val="false"/>
          <w:i w:val="false"/>
          <w:iCs w:val="false"/>
          <w:sz w:val="24"/>
          <w:szCs w:val="24"/>
        </w:rPr>
        <w:t xml:space="preserve">CR = CI / RI,    CI = (</w:t>
      </w:r>
      <w:r>
        <w:rPr>
          <w:rFonts w:ascii="Times New Roman" w:cs="Times New Roman" w:eastAsia="Times New Roman" w:hAnsi="Times New Roman"/>
          <w:i/>
          <w:iCs/>
          <w:sz w:val="24"/>
          <w:szCs w:val="24"/>
        </w:rPr>
        <w:t xml:space="preserve">λ</w:t>
      </w:r>
      <w:r>
        <w:rPr>
          <w:rFonts w:ascii="Times New Roman" w:cs="Times New Roman" w:eastAsia="Times New Roman" w:hAnsi="Times New Roman"/>
          <w:sz w:val="24"/>
          <w:szCs w:val="24"/>
          <w:vertAlign w:val="subscript"/>
        </w:rPr>
        <w:t xml:space="preserve">max</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n</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n</w:t>
      </w:r>
      <w:r>
        <w:rPr>
          <w:rFonts w:ascii="Times New Roman" w:cs="Times New Roman" w:eastAsia="Times New Roman" w:hAnsi="Times New Roman"/>
          <w:b w:val="false"/>
          <w:bCs w:val="false"/>
          <w:i w:val="false"/>
          <w:iCs w:val="false"/>
          <w:sz w:val="24"/>
          <w:szCs w:val="24"/>
        </w:rPr>
        <w:t xml:space="preserve"> − 1),</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(2)</w:t>
      </w:r>
    </w:p>
    <w:p>
      <w:pPr>
        <w:spacing w:after="0" w:before="0" w:line="240"/>
        <w:jc w:val="both"/>
      </w:pPr>
      <w:r>
        <w:rPr>
          <w:rFonts w:ascii="Times New Roman" w:cs="Times New Roman" w:eastAsia="Times New Roman" w:hAnsi="Times New Roman"/>
          <w:b w:val="false"/>
          <w:bCs w:val="false"/>
          <w:i w:val="false"/>
          <w:iCs w:val="false"/>
          <w:sz w:val="24"/>
          <w:szCs w:val="24"/>
        </w:rPr>
        <w:t xml:space="preserve">with the threshold CR &lt; 0.10 required for matrix acceptance; matrices failing this threshold are returned for revision. Individual expert matrices are aggregated via the Logarithmic Least Squares Method (LLSM) geometric mean, yielding a consensus weight vector </w:t>
      </w:r>
      <w:r>
        <w:rPr>
          <w:rFonts w:ascii="Times New Roman" w:cs="Times New Roman" w:eastAsia="Times New Roman" w:hAnsi="Times New Roman"/>
          <w:i/>
          <w:iCs/>
          <w:sz w:val="24"/>
          <w:szCs w:val="24"/>
        </w:rPr>
        <w:t xml:space="preserve">W</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w</w:t>
      </w:r>
      <w:r>
        <w:rPr>
          <w:rFonts w:ascii="Times New Roman" w:cs="Times New Roman" w:eastAsia="Times New Roman" w:hAnsi="Times New Roman"/>
          <w:i/>
          <w:iCs/>
          <w:sz w:val="24"/>
          <w:szCs w:val="24"/>
          <w:vertAlign w:val="subscript"/>
        </w:rPr>
        <w:t xml:space="preserve">j</w:t>
      </w:r>
      <w:r>
        <w:rPr>
          <w:rFonts w:ascii="Times New Roman" w:cs="Times New Roman" w:eastAsia="Times New Roman" w:hAnsi="Times New Roman"/>
          <w:b w:val="false"/>
          <w:bCs w:val="false"/>
          <w:i w:val="false"/>
          <w:iCs w:val="false"/>
          <w:sz w:val="24"/>
          <w:szCs w:val="24"/>
        </w:rPr>
        <w:t xml:space="preserve">} embedded in the optimization objective functions. This protocol operationalizes the human-centricity pillar of Industry 5.0 by ensuring that algorithmic optimization is governed by formalized, traceable human priorities rather than arbitrarily assigned proxy metrics.</w:t>
      </w:r>
    </w:p>
    <w:p>
      <w:pPr>
        <w:spacing w:after="80" w:before="160" w:line="240"/>
        <w:jc w:val="left"/>
      </w:pPr>
      <w:r>
        <w:rPr>
          <w:rFonts w:ascii="Times New Roman" w:cs="Times New Roman" w:eastAsia="Times New Roman" w:hAnsi="Times New Roman"/>
          <w:b/>
          <w:bCs/>
          <w:sz w:val="24"/>
          <w:szCs w:val="24"/>
        </w:rPr>
        <w:t xml:space="preserve">3.3 Multi-Objective Optimization via NSGA-II</w:t>
      </w:r>
    </w:p>
    <w:p>
      <w:pPr>
        <w:spacing w:after="0" w:before="0" w:line="240"/>
        <w:jc w:val="both"/>
      </w:pPr>
      <w:r>
        <w:rPr>
          <w:rFonts w:ascii="Times New Roman" w:cs="Times New Roman" w:eastAsia="Times New Roman" w:hAnsi="Times New Roman"/>
          <w:b w:val="false"/>
          <w:bCs w:val="false"/>
          <w:i w:val="false"/>
          <w:iCs w:val="false"/>
          <w:sz w:val="24"/>
          <w:szCs w:val="24"/>
        </w:rPr>
        <w:t xml:space="preserve">The IPAO formulates a tri-objective combinatorial optimization problem. Denoting the binary inclusion decision for asset </w:t>
      </w:r>
      <w:r>
        <w:rPr>
          <w:rFonts w:ascii="Times New Roman" w:cs="Times New Roman" w:eastAsia="Times New Roman" w:hAnsi="Times New Roman"/>
          <w:i/>
          <w:iCs/>
          <w:sz w:val="24"/>
          <w:szCs w:val="24"/>
        </w:rPr>
        <w:t xml:space="preserve">i</w:t>
      </w:r>
      <w:r>
        <w:rPr>
          <w:rFonts w:ascii="Times New Roman" w:cs="Times New Roman" w:eastAsia="Times New Roman" w:hAnsi="Times New Roman"/>
          <w:b w:val="false"/>
          <w:bCs w:val="false"/>
          <w:i w:val="false"/>
          <w:iCs w:val="false"/>
          <w:sz w:val="24"/>
          <w:szCs w:val="24"/>
        </w:rPr>
        <w:t xml:space="preserve"> as </w:t>
      </w:r>
      <w:r>
        <w:rPr>
          <w:rFonts w:ascii="Times New Roman" w:cs="Times New Roman" w:eastAsia="Times New Roman" w:hAnsi="Times New Roman"/>
          <w:i/>
          <w:iCs/>
          <w:sz w:val="24"/>
          <w:szCs w:val="24"/>
        </w:rPr>
        <w:t xml:space="preserve">x</w:t>
      </w:r>
      <w:r>
        <w:rPr>
          <w:rFonts w:ascii="Times New Roman" w:cs="Times New Roman" w:eastAsia="Times New Roman" w:hAnsi="Times New Roman"/>
          <w:i/>
          <w:iCs/>
          <w:sz w:val="24"/>
          <w:szCs w:val="24"/>
          <w:vertAlign w:val="subscript"/>
        </w:rPr>
        <w:t xml:space="preserve">i</w:t>
      </w:r>
      <w:r>
        <w:rPr>
          <w:rFonts w:ascii="Times New Roman" w:cs="Times New Roman" w:eastAsia="Times New Roman" w:hAnsi="Times New Roman"/>
          <w:b w:val="false"/>
          <w:bCs w:val="false"/>
          <w:i w:val="false"/>
          <w:iCs w:val="false"/>
          <w:sz w:val="24"/>
          <w:szCs w:val="24"/>
        </w:rPr>
        <w:t xml:space="preserve"> ∈ {0,1}, the three objective functions are:</w:t>
      </w:r>
    </w:p>
    <w:p>
      <w:pPr>
        <w:tabs>
          <w:tab w:val="right" w:pos="4580"/>
        </w:tabs>
        <w:spacing w:after="120" w:before="120" w:line="240"/>
        <w:ind w:left="200"/>
        <w:jc w:val="left"/>
      </w:pPr>
      <w:r>
        <w:rPr>
          <w:rFonts w:ascii="Times New Roman" w:cs="Times New Roman" w:eastAsia="Times New Roman" w:hAnsi="Times New Roman"/>
          <w:b w:val="false"/>
          <w:bCs w:val="false"/>
          <w:i w:val="false"/>
          <w:iCs w:val="false"/>
          <w:sz w:val="24"/>
          <w:szCs w:val="24"/>
        </w:rPr>
        <w:t xml:space="preserve">max  </w:t>
      </w:r>
      <w:r>
        <w:rPr>
          <w:rFonts w:ascii="Times New Roman" w:cs="Times New Roman" w:eastAsia="Times New Roman" w:hAnsi="Times New Roman"/>
          <w:i/>
          <w:iCs/>
          <w:sz w:val="24"/>
          <w:szCs w:val="24"/>
        </w:rPr>
        <w:t xml:space="preserve">F</w:t>
      </w:r>
      <w:r>
        <w:rPr>
          <w:rFonts w:ascii="Times New Roman" w:cs="Times New Roman" w:eastAsia="Times New Roman" w:hAnsi="Times New Roman"/>
          <w:sz w:val="24"/>
          <w:szCs w:val="24"/>
          <w:vertAlign w:val="subscript"/>
        </w:rPr>
        <w:t xml:space="preserve">1</w:t>
      </w:r>
      <w:r>
        <w:rPr>
          <w:rFonts w:ascii="Times New Roman" w:cs="Times New Roman" w:eastAsia="Times New Roman" w:hAnsi="Times New Roman"/>
          <w:b w:val="false"/>
          <w:bCs w:val="false"/>
          <w:i w:val="false"/>
          <w:iCs w:val="false"/>
          <w:sz w:val="24"/>
          <w:szCs w:val="24"/>
        </w:rPr>
        <w:t xml:space="preserve">(</w:t>
      </w:r>
      <w:r>
        <w:rPr>
          <w:rFonts w:ascii="Times New Roman" w:cs="Times New Roman" w:eastAsia="Times New Roman" w:hAnsi="Times New Roman"/>
          <w:i/>
          <w:iCs/>
          <w:sz w:val="24"/>
          <w:szCs w:val="24"/>
        </w:rPr>
        <w:t xml:space="preserve">x</w:t>
      </w:r>
      <w:r>
        <w:rPr>
          <w:rFonts w:ascii="Times New Roman" w:cs="Times New Roman" w:eastAsia="Times New Roman" w:hAnsi="Times New Roman"/>
          <w:b w:val="false"/>
          <w:bCs w:val="false"/>
          <w:i w:val="false"/>
          <w:iCs w:val="false"/>
          <w:sz w:val="24"/>
          <w:szCs w:val="24"/>
        </w:rPr>
        <w:t xml:space="preserve">) = Σ </w:t>
      </w:r>
      <w:r>
        <w:rPr>
          <w:rFonts w:ascii="Times New Roman" w:cs="Times New Roman" w:eastAsia="Times New Roman" w:hAnsi="Times New Roman"/>
          <w:i/>
          <w:iCs/>
          <w:sz w:val="24"/>
          <w:szCs w:val="24"/>
        </w:rPr>
        <w:t xml:space="preserve">w</w:t>
      </w:r>
      <w:r>
        <w:rPr>
          <w:rFonts w:ascii="Times New Roman" w:cs="Times New Roman" w:eastAsia="Times New Roman" w:hAnsi="Times New Roman"/>
          <w:i/>
          <w:iCs/>
          <w:sz w:val="24"/>
          <w:szCs w:val="24"/>
          <w:vertAlign w:val="subscript"/>
        </w:rPr>
        <w:t xml:space="preserve">FP,j</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x</w:t>
      </w:r>
      <w:r>
        <w:rPr>
          <w:rFonts w:ascii="Times New Roman" w:cs="Times New Roman" w:eastAsia="Times New Roman" w:hAnsi="Times New Roman"/>
          <w:i/>
          <w:iCs/>
          <w:sz w:val="24"/>
          <w:szCs w:val="24"/>
          <w:vertAlign w:val="subscript"/>
        </w:rPr>
        <w:t xml:space="preserve">i</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d̃</w:t>
      </w:r>
      <w:r>
        <w:rPr>
          <w:rFonts w:ascii="Times New Roman" w:cs="Times New Roman" w:eastAsia="Times New Roman" w:hAnsi="Times New Roman"/>
          <w:i/>
          <w:iCs/>
          <w:sz w:val="24"/>
          <w:szCs w:val="24"/>
          <w:vertAlign w:val="subscript"/>
        </w:rPr>
        <w:t xml:space="preserve">i,FP</w:t>
      </w:r>
      <w:r>
        <w:rPr>
          <w:rFonts w:ascii="Times New Roman" w:cs="Times New Roman" w:eastAsia="Times New Roman" w:hAnsi="Times New Roman"/>
          <w:b w:val="false"/>
          <w:bCs w:val="false"/>
          <w:i w:val="false"/>
          <w:iCs w:val="false"/>
          <w:sz w:val="24"/>
          <w:szCs w:val="24"/>
        </w:rPr>
        <w:t xml:space="preserve">,</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(3)</w:t>
      </w:r>
    </w:p>
    <w:p>
      <w:pPr>
        <w:tabs>
          <w:tab w:val="right" w:pos="4580"/>
        </w:tabs>
        <w:spacing w:after="120" w:before="120" w:line="240"/>
        <w:ind w:left="200"/>
        <w:jc w:val="left"/>
      </w:pPr>
      <w:r>
        <w:rPr>
          <w:rFonts w:ascii="Times New Roman" w:cs="Times New Roman" w:eastAsia="Times New Roman" w:hAnsi="Times New Roman"/>
          <w:b w:val="false"/>
          <w:bCs w:val="false"/>
          <w:i w:val="false"/>
          <w:iCs w:val="false"/>
          <w:sz w:val="24"/>
          <w:szCs w:val="24"/>
        </w:rPr>
        <w:t xml:space="preserve">max  </w:t>
      </w:r>
      <w:r>
        <w:rPr>
          <w:rFonts w:ascii="Times New Roman" w:cs="Times New Roman" w:eastAsia="Times New Roman" w:hAnsi="Times New Roman"/>
          <w:i/>
          <w:iCs/>
          <w:sz w:val="24"/>
          <w:szCs w:val="24"/>
        </w:rPr>
        <w:t xml:space="preserve">F</w:t>
      </w:r>
      <w:r>
        <w:rPr>
          <w:rFonts w:ascii="Times New Roman" w:cs="Times New Roman" w:eastAsia="Times New Roman" w:hAnsi="Times New Roman"/>
          <w:sz w:val="24"/>
          <w:szCs w:val="24"/>
          <w:vertAlign w:val="subscript"/>
        </w:rPr>
        <w:t xml:space="preserve">2</w:t>
      </w:r>
      <w:r>
        <w:rPr>
          <w:rFonts w:ascii="Times New Roman" w:cs="Times New Roman" w:eastAsia="Times New Roman" w:hAnsi="Times New Roman"/>
          <w:b w:val="false"/>
          <w:bCs w:val="false"/>
          <w:i w:val="false"/>
          <w:iCs w:val="false"/>
          <w:sz w:val="24"/>
          <w:szCs w:val="24"/>
        </w:rPr>
        <w:t xml:space="preserve">(</w:t>
      </w:r>
      <w:r>
        <w:rPr>
          <w:rFonts w:ascii="Times New Roman" w:cs="Times New Roman" w:eastAsia="Times New Roman" w:hAnsi="Times New Roman"/>
          <w:i/>
          <w:iCs/>
          <w:sz w:val="24"/>
          <w:szCs w:val="24"/>
        </w:rPr>
        <w:t xml:space="preserve">x</w:t>
      </w:r>
      <w:r>
        <w:rPr>
          <w:rFonts w:ascii="Times New Roman" w:cs="Times New Roman" w:eastAsia="Times New Roman" w:hAnsi="Times New Roman"/>
          <w:b w:val="false"/>
          <w:bCs w:val="false"/>
          <w:i w:val="false"/>
          <w:iCs w:val="false"/>
          <w:sz w:val="24"/>
          <w:szCs w:val="24"/>
        </w:rPr>
        <w:t xml:space="preserve">) = 1 − Σ </w:t>
      </w:r>
      <w:r>
        <w:rPr>
          <w:rFonts w:ascii="Times New Roman" w:cs="Times New Roman" w:eastAsia="Times New Roman" w:hAnsi="Times New Roman"/>
          <w:i/>
          <w:iCs/>
          <w:sz w:val="24"/>
          <w:szCs w:val="24"/>
        </w:rPr>
        <w:t xml:space="preserve">w</w:t>
      </w:r>
      <w:r>
        <w:rPr>
          <w:rFonts w:ascii="Times New Roman" w:cs="Times New Roman" w:eastAsia="Times New Roman" w:hAnsi="Times New Roman"/>
          <w:i/>
          <w:iCs/>
          <w:sz w:val="24"/>
          <w:szCs w:val="24"/>
          <w:vertAlign w:val="subscript"/>
        </w:rPr>
        <w:t xml:space="preserve">OR,j</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x</w:t>
      </w:r>
      <w:r>
        <w:rPr>
          <w:rFonts w:ascii="Times New Roman" w:cs="Times New Roman" w:eastAsia="Times New Roman" w:hAnsi="Times New Roman"/>
          <w:i/>
          <w:iCs/>
          <w:sz w:val="24"/>
          <w:szCs w:val="24"/>
          <w:vertAlign w:val="subscript"/>
        </w:rPr>
        <w:t xml:space="preserve">i</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d̃</w:t>
      </w:r>
      <w:r>
        <w:rPr>
          <w:rFonts w:ascii="Times New Roman" w:cs="Times New Roman" w:eastAsia="Times New Roman" w:hAnsi="Times New Roman"/>
          <w:i/>
          <w:iCs/>
          <w:sz w:val="24"/>
          <w:szCs w:val="24"/>
          <w:vertAlign w:val="subscript"/>
        </w:rPr>
        <w:t xml:space="preserve">i,OR</w:t>
      </w:r>
      <w:r>
        <w:rPr>
          <w:rFonts w:ascii="Times New Roman" w:cs="Times New Roman" w:eastAsia="Times New Roman" w:hAnsi="Times New Roman"/>
          <w:b w:val="false"/>
          <w:bCs w:val="false"/>
          <w:i w:val="false"/>
          <w:iCs w:val="false"/>
          <w:sz w:val="24"/>
          <w:szCs w:val="24"/>
        </w:rPr>
        <w:t xml:space="preserve">,</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(4)</w:t>
      </w:r>
    </w:p>
    <w:p>
      <w:pPr>
        <w:tabs>
          <w:tab w:val="right" w:pos="4580"/>
        </w:tabs>
        <w:spacing w:after="120" w:before="120" w:line="240"/>
        <w:ind w:left="200"/>
        <w:jc w:val="left"/>
      </w:pPr>
      <w:r>
        <w:rPr>
          <w:rFonts w:ascii="Times New Roman" w:cs="Times New Roman" w:eastAsia="Times New Roman" w:hAnsi="Times New Roman"/>
          <w:b w:val="false"/>
          <w:bCs w:val="false"/>
          <w:i w:val="false"/>
          <w:iCs w:val="false"/>
          <w:sz w:val="24"/>
          <w:szCs w:val="24"/>
        </w:rPr>
        <w:t xml:space="preserve">max  </w:t>
      </w:r>
      <w:r>
        <w:rPr>
          <w:rFonts w:ascii="Times New Roman" w:cs="Times New Roman" w:eastAsia="Times New Roman" w:hAnsi="Times New Roman"/>
          <w:i/>
          <w:iCs/>
          <w:sz w:val="24"/>
          <w:szCs w:val="24"/>
        </w:rPr>
        <w:t xml:space="preserve">F</w:t>
      </w:r>
      <w:r>
        <w:rPr>
          <w:rFonts w:ascii="Times New Roman" w:cs="Times New Roman" w:eastAsia="Times New Roman" w:hAnsi="Times New Roman"/>
          <w:sz w:val="24"/>
          <w:szCs w:val="24"/>
          <w:vertAlign w:val="subscript"/>
        </w:rPr>
        <w:t xml:space="preserve">3</w:t>
      </w:r>
      <w:r>
        <w:rPr>
          <w:rFonts w:ascii="Times New Roman" w:cs="Times New Roman" w:eastAsia="Times New Roman" w:hAnsi="Times New Roman"/>
          <w:b w:val="false"/>
          <w:bCs w:val="false"/>
          <w:i w:val="false"/>
          <w:iCs w:val="false"/>
          <w:sz w:val="24"/>
          <w:szCs w:val="24"/>
        </w:rPr>
        <w:t xml:space="preserve">(</w:t>
      </w:r>
      <w:r>
        <w:rPr>
          <w:rFonts w:ascii="Times New Roman" w:cs="Times New Roman" w:eastAsia="Times New Roman" w:hAnsi="Times New Roman"/>
          <w:i/>
          <w:iCs/>
          <w:sz w:val="24"/>
          <w:szCs w:val="24"/>
        </w:rPr>
        <w:t xml:space="preserve">x</w:t>
      </w:r>
      <w:r>
        <w:rPr>
          <w:rFonts w:ascii="Times New Roman" w:cs="Times New Roman" w:eastAsia="Times New Roman" w:hAnsi="Times New Roman"/>
          <w:b w:val="false"/>
          <w:bCs w:val="false"/>
          <w:i w:val="false"/>
          <w:iCs w:val="false"/>
          <w:sz w:val="24"/>
          <w:szCs w:val="24"/>
        </w:rPr>
        <w:t xml:space="preserve">) = Σ </w:t>
      </w:r>
      <w:r>
        <w:rPr>
          <w:rFonts w:ascii="Times New Roman" w:cs="Times New Roman" w:eastAsia="Times New Roman" w:hAnsi="Times New Roman"/>
          <w:i/>
          <w:iCs/>
          <w:sz w:val="24"/>
          <w:szCs w:val="24"/>
        </w:rPr>
        <w:t xml:space="preserve">w</w:t>
      </w:r>
      <w:r>
        <w:rPr>
          <w:rFonts w:ascii="Times New Roman" w:cs="Times New Roman" w:eastAsia="Times New Roman" w:hAnsi="Times New Roman"/>
          <w:i/>
          <w:iCs/>
          <w:sz w:val="24"/>
          <w:szCs w:val="24"/>
          <w:vertAlign w:val="subscript"/>
        </w:rPr>
        <w:t xml:space="preserve">ESG,j</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x</w:t>
      </w:r>
      <w:r>
        <w:rPr>
          <w:rFonts w:ascii="Times New Roman" w:cs="Times New Roman" w:eastAsia="Times New Roman" w:hAnsi="Times New Roman"/>
          <w:i/>
          <w:iCs/>
          <w:sz w:val="24"/>
          <w:szCs w:val="24"/>
          <w:vertAlign w:val="subscript"/>
        </w:rPr>
        <w:t xml:space="preserve">i</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d̃</w:t>
      </w:r>
      <w:r>
        <w:rPr>
          <w:rFonts w:ascii="Times New Roman" w:cs="Times New Roman" w:eastAsia="Times New Roman" w:hAnsi="Times New Roman"/>
          <w:i/>
          <w:iCs/>
          <w:sz w:val="24"/>
          <w:szCs w:val="24"/>
          <w:vertAlign w:val="subscript"/>
        </w:rPr>
        <w:t xml:space="preserve">i,ESG</w:t>
      </w:r>
      <w:r>
        <w:rPr>
          <w:rFonts w:ascii="Times New Roman" w:cs="Times New Roman" w:eastAsia="Times New Roman" w:hAnsi="Times New Roman"/>
          <w:b w:val="false"/>
          <w:bCs w:val="false"/>
          <w:i w:val="false"/>
          <w:iCs w:val="false"/>
          <w:sz w:val="24"/>
          <w:szCs w:val="24"/>
        </w:rPr>
        <w:t xml:space="preserve">,</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(5)</w:t>
      </w:r>
    </w:p>
    <w:p>
      <w:pPr>
        <w:spacing w:after="0" w:before="0" w:line="240"/>
        <w:jc w:val="both"/>
      </w:pPr>
      <w:r>
        <w:rPr>
          <w:rFonts w:ascii="Times New Roman" w:cs="Times New Roman" w:eastAsia="Times New Roman" w:hAnsi="Times New Roman"/>
          <w:sz w:val="24"/>
          <w:szCs w:val="24"/>
        </w:rPr>
        <w:t xml:space="preserve">subject to the budget, diversification, and minimum-cardinality constraints:</w:t>
      </w:r>
    </w:p>
    <w:p>
      <w:pPr>
        <w:tabs>
          <w:tab w:val="right" w:pos="4580"/>
        </w:tabs>
        <w:spacing w:after="120" w:before="120" w:line="240"/>
        <w:ind w:left="200"/>
        <w:jc w:val="left"/>
      </w:pPr>
      <w:r>
        <w:rPr>
          <w:rFonts w:ascii="Times New Roman" w:cs="Times New Roman" w:eastAsia="Times New Roman" w:hAnsi="Times New Roman"/>
          <w:b w:val="false"/>
          <w:bCs w:val="false"/>
          <w:i w:val="false"/>
          <w:iCs w:val="false"/>
          <w:sz w:val="24"/>
          <w:szCs w:val="24"/>
        </w:rPr>
        <w:t xml:space="preserve">Σ </w:t>
      </w:r>
      <w:r>
        <w:rPr>
          <w:rFonts w:ascii="Times New Roman" w:cs="Times New Roman" w:eastAsia="Times New Roman" w:hAnsi="Times New Roman"/>
          <w:i/>
          <w:iCs/>
          <w:sz w:val="24"/>
          <w:szCs w:val="24"/>
        </w:rPr>
        <w:t xml:space="preserve">x</w:t>
      </w:r>
      <w:r>
        <w:rPr>
          <w:rFonts w:ascii="Times New Roman" w:cs="Times New Roman" w:eastAsia="Times New Roman" w:hAnsi="Times New Roman"/>
          <w:i/>
          <w:iCs/>
          <w:sz w:val="24"/>
          <w:szCs w:val="24"/>
          <w:vertAlign w:val="subscript"/>
        </w:rPr>
        <w:t xml:space="preserve">i</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C</w:t>
      </w:r>
      <w:r>
        <w:rPr>
          <w:rFonts w:ascii="Times New Roman" w:cs="Times New Roman" w:eastAsia="Times New Roman" w:hAnsi="Times New Roman"/>
          <w:i/>
          <w:iCs/>
          <w:sz w:val="24"/>
          <w:szCs w:val="24"/>
          <w:vertAlign w:val="subscript"/>
        </w:rPr>
        <w:t xml:space="preserve">i</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B</w:t>
      </w:r>
      <w:r>
        <w:rPr>
          <w:rFonts w:ascii="Times New Roman" w:cs="Times New Roman" w:eastAsia="Times New Roman" w:hAnsi="Times New Roman"/>
          <w:b w:val="false"/>
          <w:bCs w:val="false"/>
          <w:i w:val="false"/>
          <w:iCs w:val="false"/>
          <w:sz w:val="24"/>
          <w:szCs w:val="24"/>
        </w:rPr>
        <w:t xml:space="preserve">,  Σ </w:t>
      </w:r>
      <w:r>
        <w:rPr>
          <w:rFonts w:ascii="Times New Roman" w:cs="Times New Roman" w:eastAsia="Times New Roman" w:hAnsi="Times New Roman"/>
          <w:i/>
          <w:iCs/>
          <w:sz w:val="24"/>
          <w:szCs w:val="24"/>
        </w:rPr>
        <w:t xml:space="preserve">x</w:t>
      </w:r>
      <w:r>
        <w:rPr>
          <w:rFonts w:ascii="Times New Roman" w:cs="Times New Roman" w:eastAsia="Times New Roman" w:hAnsi="Times New Roman"/>
          <w:i/>
          <w:iCs/>
          <w:sz w:val="24"/>
          <w:szCs w:val="24"/>
          <w:vertAlign w:val="subscript"/>
        </w:rPr>
        <w:t xml:space="preserve">i</w:t>
      </w:r>
      <w:r>
        <w:rPr>
          <w:rFonts w:ascii="Times New Roman" w:cs="Times New Roman" w:eastAsia="Times New Roman" w:hAnsi="Times New Roman"/>
          <w:b w:val="false"/>
          <w:bCs w:val="false"/>
          <w:i w:val="false"/>
          <w:iCs w:val="false"/>
          <w:sz w:val="24"/>
          <w:szCs w:val="24"/>
        </w:rPr>
        <w:t xml:space="preserve"> ≥ </w:t>
      </w:r>
      <w:r>
        <w:rPr>
          <w:rFonts w:ascii="Times New Roman" w:cs="Times New Roman" w:eastAsia="Times New Roman" w:hAnsi="Times New Roman"/>
          <w:i/>
          <w:iCs/>
          <w:sz w:val="24"/>
          <w:szCs w:val="24"/>
        </w:rPr>
        <w:t xml:space="preserve">N</w:t>
      </w:r>
      <w:r>
        <w:rPr>
          <w:rFonts w:ascii="Times New Roman" w:cs="Times New Roman" w:eastAsia="Times New Roman" w:hAnsi="Times New Roman"/>
          <w:b w:val="false"/>
          <w:bCs w:val="false"/>
          <w:i w:val="false"/>
          <w:iCs w:val="false"/>
          <w:sz w:val="24"/>
          <w:szCs w:val="24"/>
        </w:rPr>
        <w:t xml:space="preserve">/4,  |</w:t>
      </w:r>
      <w:r>
        <w:rPr>
          <w:rFonts w:ascii="Times New Roman" w:cs="Times New Roman" w:eastAsia="Times New Roman" w:hAnsi="Times New Roman"/>
          <w:i/>
          <w:iCs/>
          <w:sz w:val="24"/>
          <w:szCs w:val="24"/>
        </w:rPr>
        <w:t xml:space="preserve">S</w:t>
      </w:r>
      <w:r>
        <w:rPr>
          <w:rFonts w:ascii="Times New Roman" w:cs="Times New Roman" w:eastAsia="Times New Roman" w:hAnsi="Times New Roman"/>
          <w:b w:val="false"/>
          <w:bCs w:val="false"/>
          <w:i w:val="false"/>
          <w:iCs w:val="false"/>
          <w:sz w:val="24"/>
          <w:szCs w:val="24"/>
        </w:rPr>
        <w:t xml:space="preserve">(</w:t>
      </w:r>
      <w:r>
        <w:rPr>
          <w:rFonts w:ascii="Times New Roman" w:cs="Times New Roman" w:eastAsia="Times New Roman" w:hAnsi="Times New Roman"/>
          <w:i/>
          <w:iCs/>
          <w:sz w:val="24"/>
          <w:szCs w:val="24"/>
        </w:rPr>
        <w:t xml:space="preserve">x</w:t>
      </w:r>
      <w:r>
        <w:rPr>
          <w:rFonts w:ascii="Times New Roman" w:cs="Times New Roman" w:eastAsia="Times New Roman" w:hAnsi="Times New Roman"/>
          <w:b w:val="false"/>
          <w:bCs w:val="false"/>
          <w:i w:val="false"/>
          <w:iCs w:val="false"/>
          <w:sz w:val="24"/>
          <w:szCs w:val="24"/>
        </w:rPr>
        <w:t xml:space="preserve">)| ≥ 3,</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(6)</w:t>
      </w:r>
    </w:p>
    <w:p>
      <w:pPr>
        <w:spacing w:after="0" w:before="0" w:line="240"/>
        <w:jc w:val="both"/>
      </w:pPr>
      <w:r>
        <w:rPr>
          <w:rFonts w:ascii="Times New Roman" w:cs="Times New Roman" w:eastAsia="Times New Roman" w:hAnsi="Times New Roman"/>
          <w:b w:val="false"/>
          <w:bCs w:val="false"/>
          <w:i w:val="false"/>
          <w:iCs w:val="false"/>
          <w:sz w:val="24"/>
          <w:szCs w:val="24"/>
        </w:rPr>
        <w:t xml:space="preserve">where </w:t>
      </w:r>
      <w:r>
        <w:rPr>
          <w:rFonts w:ascii="Times New Roman" w:cs="Times New Roman" w:eastAsia="Times New Roman" w:hAnsi="Times New Roman"/>
          <w:i/>
          <w:iCs/>
          <w:sz w:val="24"/>
          <w:szCs w:val="24"/>
        </w:rPr>
        <w:t xml:space="preserve">C</w:t>
      </w:r>
      <w:r>
        <w:rPr>
          <w:rFonts w:ascii="Times New Roman" w:cs="Times New Roman" w:eastAsia="Times New Roman" w:hAnsi="Times New Roman"/>
          <w:i/>
          <w:iCs/>
          <w:sz w:val="24"/>
          <w:szCs w:val="24"/>
          <w:vertAlign w:val="subscript"/>
        </w:rPr>
        <w:t xml:space="preserve">i</w:t>
      </w:r>
      <w:r>
        <w:rPr>
          <w:rFonts w:ascii="Times New Roman" w:cs="Times New Roman" w:eastAsia="Times New Roman" w:hAnsi="Times New Roman"/>
          <w:b w:val="false"/>
          <w:bCs w:val="false"/>
          <w:i w:val="false"/>
          <w:iCs w:val="false"/>
          <w:sz w:val="24"/>
          <w:szCs w:val="24"/>
        </w:rPr>
        <w:t xml:space="preserve"> is the investment cost of asset </w:t>
      </w:r>
      <w:r>
        <w:rPr>
          <w:rFonts w:ascii="Times New Roman" w:cs="Times New Roman" w:eastAsia="Times New Roman" w:hAnsi="Times New Roman"/>
          <w:i/>
          <w:iCs/>
          <w:sz w:val="24"/>
          <w:szCs w:val="24"/>
        </w:rPr>
        <w:t xml:space="preserve">i</w:t>
      </w: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i/>
          <w:iCs/>
          <w:sz w:val="24"/>
          <w:szCs w:val="24"/>
        </w:rPr>
        <w:t xml:space="preserve">B</w:t>
      </w:r>
      <w:r>
        <w:rPr>
          <w:rFonts w:ascii="Times New Roman" w:cs="Times New Roman" w:eastAsia="Times New Roman" w:hAnsi="Times New Roman"/>
          <w:b w:val="false"/>
          <w:bCs w:val="false"/>
          <w:i w:val="false"/>
          <w:iCs w:val="false"/>
          <w:sz w:val="24"/>
          <w:szCs w:val="24"/>
        </w:rPr>
        <w:t xml:space="preserve"> the available capital budget, and |</w:t>
      </w:r>
      <w:r>
        <w:rPr>
          <w:rFonts w:ascii="Times New Roman" w:cs="Times New Roman" w:eastAsia="Times New Roman" w:hAnsi="Times New Roman"/>
          <w:i/>
          <w:iCs/>
          <w:sz w:val="24"/>
          <w:szCs w:val="24"/>
        </w:rPr>
        <w:t xml:space="preserve">S</w:t>
      </w:r>
      <w:r>
        <w:rPr>
          <w:rFonts w:ascii="Times New Roman" w:cs="Times New Roman" w:eastAsia="Times New Roman" w:hAnsi="Times New Roman"/>
          <w:b w:val="false"/>
          <w:bCs w:val="false"/>
          <w:i w:val="false"/>
          <w:iCs w:val="false"/>
          <w:sz w:val="24"/>
          <w:szCs w:val="24"/>
        </w:rPr>
        <w:t xml:space="preserve">(</w:t>
      </w:r>
      <w:r>
        <w:rPr>
          <w:rFonts w:ascii="Times New Roman" w:cs="Times New Roman" w:eastAsia="Times New Roman" w:hAnsi="Times New Roman"/>
          <w:i/>
          <w:iCs/>
          <w:sz w:val="24"/>
          <w:szCs w:val="24"/>
        </w:rPr>
        <w:t xml:space="preserve">x</w:t>
      </w:r>
      <w:r>
        <w:rPr>
          <w:rFonts w:ascii="Times New Roman" w:cs="Times New Roman" w:eastAsia="Times New Roman" w:hAnsi="Times New Roman"/>
          <w:b w:val="false"/>
          <w:bCs w:val="false"/>
          <w:i w:val="false"/>
          <w:iCs w:val="false"/>
          <w:sz w:val="24"/>
          <w:szCs w:val="24"/>
        </w:rPr>
        <w:t xml:space="preserve">)| the cardinality of the set of distinct industrial sectors represented in the selected portfolio. The optimization is solved using NSGA-II [6], which generates a Pareto-optimal frontier approximating the trade-off surface between the three objectives. Human portfolio managers interact with the Pareto frontier visualization to select preferred configurations according to organizational strategic priorities, with the system providing TOPSIS-based ranking of Pareto solutions to assist preference articulation.</w:t>
      </w:r>
    </w:p>
    <w:p>
      <w:pPr>
        <w:spacing w:after="80" w:before="160" w:line="240"/>
        <w:jc w:val="left"/>
      </w:pPr>
      <w:r>
        <w:rPr>
          <w:rFonts w:ascii="Times New Roman" w:cs="Times New Roman" w:eastAsia="Times New Roman" w:hAnsi="Times New Roman"/>
          <w:b/>
          <w:bCs/>
          <w:sz w:val="24"/>
          <w:szCs w:val="24"/>
        </w:rPr>
        <w:t xml:space="preserve">3.4 Monte Carlo Risk Validation</w:t>
      </w:r>
    </w:p>
    <w:p>
      <w:pPr>
        <w:spacing w:after="0" w:before="0" w:line="240"/>
        <w:jc w:val="both"/>
      </w:pPr>
      <w:r>
        <w:rPr>
          <w:rFonts w:ascii="Times New Roman" w:cs="Times New Roman" w:eastAsia="Times New Roman" w:hAnsi="Times New Roman"/>
          <w:b w:val="false"/>
          <w:bCs w:val="false"/>
          <w:i w:val="false"/>
          <w:iCs w:val="false"/>
          <w:sz w:val="24"/>
          <w:szCs w:val="24"/>
        </w:rPr>
        <w:t xml:space="preserve">Selected Pareto-optimal portfolio configurations are subjected to Monte Carlo simulation with </w:t>
      </w:r>
      <w:r>
        <w:rPr>
          <w:rFonts w:ascii="Times New Roman" w:cs="Times New Roman" w:eastAsia="Times New Roman" w:hAnsi="Times New Roman"/>
          <w:i/>
          <w:iCs/>
          <w:sz w:val="24"/>
          <w:szCs w:val="24"/>
        </w:rPr>
        <w:t xml:space="preserve">K</w:t>
      </w:r>
      <w:r>
        <w:rPr>
          <w:rFonts w:ascii="Times New Roman" w:cs="Times New Roman" w:eastAsia="Times New Roman" w:hAnsi="Times New Roman"/>
          <w:b w:val="false"/>
          <w:bCs w:val="false"/>
          <w:i w:val="false"/>
          <w:iCs w:val="false"/>
          <w:sz w:val="24"/>
          <w:szCs w:val="24"/>
        </w:rPr>
        <w:t xml:space="preserve"> = 10,000 runs, applying stochastic perturbation to key uncertain parameters: energy price volatility modelled as a log-normal distribution with annualized volatility </w:t>
      </w:r>
      <w:r>
        <w:rPr>
          <w:rFonts w:ascii="Times New Roman" w:cs="Times New Roman" w:eastAsia="Times New Roman" w:hAnsi="Times New Roman"/>
          <w:i/>
          <w:iCs/>
          <w:sz w:val="24"/>
          <w:szCs w:val="24"/>
        </w:rPr>
        <w:t xml:space="preserve">σ</w:t>
      </w:r>
      <w:r>
        <w:rPr>
          <w:rFonts w:ascii="Times New Roman" w:cs="Times New Roman" w:eastAsia="Times New Roman" w:hAnsi="Times New Roman"/>
          <w:b w:val="false"/>
          <w:bCs w:val="false"/>
          <w:i w:val="false"/>
          <w:iCs w:val="false"/>
          <w:sz w:val="24"/>
          <w:szCs w:val="24"/>
        </w:rPr>
        <w:t xml:space="preserve"> = 20%; regulatory penalty probability following an empirically calibrated Poisson process; and asset failure rates described by Weibull distributions parameterized from published sector benchmarks [15]. Simulation outputs yield empirical probability distributions for portfolio-level financial performance and risk exposure, enabling Value-at-Risk computation at confidence level </w:t>
      </w:r>
      <w:r>
        <w:rPr>
          <w:rFonts w:ascii="Times New Roman" w:cs="Times New Roman" w:eastAsia="Times New Roman" w:hAnsi="Times New Roman"/>
          <w:i/>
          <w:iCs/>
          <w:sz w:val="24"/>
          <w:szCs w:val="24"/>
        </w:rPr>
        <w:t xml:space="preserve">α</w:t>
      </w:r>
      <w:r>
        <w:rPr>
          <w:rFonts w:ascii="Times New Roman" w:cs="Times New Roman" w:eastAsia="Times New Roman" w:hAnsi="Times New Roman"/>
          <w:b w:val="false"/>
          <w:bCs w:val="false"/>
          <w:i w:val="false"/>
          <w:iCs w:val="false"/>
          <w:sz w:val="24"/>
          <w:szCs w:val="24"/>
        </w:rPr>
        <w:t xml:space="preserve">:</w:t>
      </w:r>
    </w:p>
    <w:p>
      <w:pPr>
        <w:tabs>
          <w:tab w:val="right" w:pos="4580"/>
        </w:tabs>
        <w:spacing w:after="120" w:before="120" w:line="240"/>
        <w:ind w:left="200"/>
        <w:jc w:val="left"/>
      </w:pPr>
      <w:r>
        <w:rPr>
          <w:rFonts w:ascii="Times New Roman" w:cs="Times New Roman" w:eastAsia="Times New Roman" w:hAnsi="Times New Roman"/>
          <w:b w:val="false"/>
          <w:bCs w:val="false"/>
          <w:i w:val="false"/>
          <w:iCs w:val="false"/>
          <w:sz w:val="24"/>
          <w:szCs w:val="24"/>
        </w:rPr>
        <w:t xml:space="preserve">VaR</w:t>
      </w:r>
      <w:r>
        <w:rPr>
          <w:rFonts w:ascii="Times New Roman" w:cs="Times New Roman" w:eastAsia="Times New Roman" w:hAnsi="Times New Roman"/>
          <w:i/>
          <w:iCs/>
          <w:sz w:val="24"/>
          <w:szCs w:val="24"/>
          <w:vertAlign w:val="subscript"/>
        </w:rPr>
        <w:t xml:space="preserve">α</w:t>
      </w:r>
      <w:r>
        <w:rPr>
          <w:rFonts w:ascii="Times New Roman" w:cs="Times New Roman" w:eastAsia="Times New Roman" w:hAnsi="Times New Roman"/>
          <w:b w:val="false"/>
          <w:bCs w:val="false"/>
          <w:i w:val="false"/>
          <w:iCs w:val="false"/>
          <w:sz w:val="24"/>
          <w:szCs w:val="24"/>
        </w:rPr>
        <w:t xml:space="preserve">(</w:t>
      </w:r>
      <w:r>
        <w:rPr>
          <w:rFonts w:ascii="Times New Roman" w:cs="Times New Roman" w:eastAsia="Times New Roman" w:hAnsi="Times New Roman"/>
          <w:i/>
          <w:iCs/>
          <w:sz w:val="24"/>
          <w:szCs w:val="24"/>
        </w:rPr>
        <w:t xml:space="preserve">L</w:t>
      </w:r>
      <w:r>
        <w:rPr>
          <w:rFonts w:ascii="Times New Roman" w:cs="Times New Roman" w:eastAsia="Times New Roman" w:hAnsi="Times New Roman"/>
          <w:b w:val="false"/>
          <w:bCs w:val="false"/>
          <w:i w:val="false"/>
          <w:iCs w:val="false"/>
          <w:sz w:val="24"/>
          <w:szCs w:val="24"/>
        </w:rPr>
        <w:t xml:space="preserve">) = inf{ </w:t>
      </w:r>
      <w:r>
        <w:rPr>
          <w:rFonts w:ascii="Times New Roman" w:cs="Times New Roman" w:eastAsia="Times New Roman" w:hAnsi="Times New Roman"/>
          <w:i/>
          <w:iCs/>
          <w:sz w:val="24"/>
          <w:szCs w:val="24"/>
        </w:rPr>
        <w:t xml:space="preserve">ℓ</w:t>
      </w:r>
      <w:r>
        <w:rPr>
          <w:rFonts w:ascii="Times New Roman" w:cs="Times New Roman" w:eastAsia="Times New Roman" w:hAnsi="Times New Roman"/>
          <w:b w:val="false"/>
          <w:bCs w:val="false"/>
          <w:i w:val="false"/>
          <w:iCs w:val="false"/>
          <w:sz w:val="24"/>
          <w:szCs w:val="24"/>
        </w:rPr>
        <w:t xml:space="preserve"> ∈ ℝ : P(</w:t>
      </w:r>
      <w:r>
        <w:rPr>
          <w:rFonts w:ascii="Times New Roman" w:cs="Times New Roman" w:eastAsia="Times New Roman" w:hAnsi="Times New Roman"/>
          <w:i/>
          <w:iCs/>
          <w:sz w:val="24"/>
          <w:szCs w:val="24"/>
        </w:rPr>
        <w:t xml:space="preserve">L</w:t>
      </w:r>
      <w:r>
        <w:rPr>
          <w:rFonts w:ascii="Times New Roman" w:cs="Times New Roman" w:eastAsia="Times New Roman" w:hAnsi="Times New Roman"/>
          <w:b w:val="false"/>
          <w:bCs w:val="false"/>
          <w:i w:val="false"/>
          <w:iCs w:val="false"/>
          <w:sz w:val="24"/>
          <w:szCs w:val="24"/>
        </w:rPr>
        <w:t xml:space="preserve"> &gt; </w:t>
      </w:r>
      <w:r>
        <w:rPr>
          <w:rFonts w:ascii="Times New Roman" w:cs="Times New Roman" w:eastAsia="Times New Roman" w:hAnsi="Times New Roman"/>
          <w:i/>
          <w:iCs/>
          <w:sz w:val="24"/>
          <w:szCs w:val="24"/>
        </w:rPr>
        <w:t xml:space="preserve">ℓ</w:t>
      </w:r>
      <w:r>
        <w:rPr>
          <w:rFonts w:ascii="Times New Roman" w:cs="Times New Roman" w:eastAsia="Times New Roman" w:hAnsi="Times New Roman"/>
          <w:b w:val="false"/>
          <w:bCs w:val="false"/>
          <w:i w:val="false"/>
          <w:iCs w:val="false"/>
          <w:sz w:val="24"/>
          <w:szCs w:val="24"/>
        </w:rPr>
        <w:t xml:space="preserve">) ≤ 1 − </w:t>
      </w:r>
      <w:r>
        <w:rPr>
          <w:rFonts w:ascii="Times New Roman" w:cs="Times New Roman" w:eastAsia="Times New Roman" w:hAnsi="Times New Roman"/>
          <w:i/>
          <w:iCs/>
          <w:sz w:val="24"/>
          <w:szCs w:val="24"/>
        </w:rPr>
        <w:t xml:space="preserve">α</w:t>
      </w: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(7)</w:t>
      </w:r>
    </w:p>
    <w:p>
      <w:pPr>
        <w:spacing w:after="0" w:before="0" w:line="240"/>
        <w:jc w:val="both"/>
      </w:pPr>
      <w:r>
        <w:rPr>
          <w:rFonts w:ascii="Times New Roman" w:cs="Times New Roman" w:eastAsia="Times New Roman" w:hAnsi="Times New Roman"/>
          <w:b w:val="false"/>
          <w:bCs w:val="false"/>
          <w:i w:val="false"/>
          <w:iCs w:val="false"/>
          <w:sz w:val="24"/>
          <w:szCs w:val="24"/>
        </w:rPr>
        <w:t xml:space="preserve">with Conditional Value-at-Risk (CVaR</w:t>
      </w:r>
      <w:r>
        <w:rPr>
          <w:rFonts w:ascii="Times New Roman" w:cs="Times New Roman" w:eastAsia="Times New Roman" w:hAnsi="Times New Roman"/>
          <w:i/>
          <w:iCs/>
          <w:sz w:val="24"/>
          <w:szCs w:val="24"/>
          <w:vertAlign w:val="subscript"/>
        </w:rPr>
        <w:t xml:space="preserve">α</w:t>
      </w:r>
      <w:r>
        <w:rPr>
          <w:rFonts w:ascii="Times New Roman" w:cs="Times New Roman" w:eastAsia="Times New Roman" w:hAnsi="Times New Roman"/>
          <w:b w:val="false"/>
          <w:bCs w:val="false"/>
          <w:i w:val="false"/>
          <w:iCs w:val="false"/>
          <w:sz w:val="24"/>
          <w:szCs w:val="24"/>
        </w:rPr>
        <w:t xml:space="preserve">) computed as the conditional expectation of losses exceeding VaR</w:t>
      </w:r>
      <w:r>
        <w:rPr>
          <w:rFonts w:ascii="Times New Roman" w:cs="Times New Roman" w:eastAsia="Times New Roman" w:hAnsi="Times New Roman"/>
          <w:i/>
          <w:iCs/>
          <w:sz w:val="24"/>
          <w:szCs w:val="24"/>
          <w:vertAlign w:val="subscript"/>
        </w:rPr>
        <w:t xml:space="preserve">α</w:t>
      </w:r>
      <w:r>
        <w:rPr>
          <w:rFonts w:ascii="Times New Roman" w:cs="Times New Roman" w:eastAsia="Times New Roman" w:hAnsi="Times New Roman"/>
          <w:b w:val="false"/>
          <w:bCs w:val="false"/>
          <w:i w:val="false"/>
          <w:iCs w:val="false"/>
          <w:sz w:val="24"/>
          <w:szCs w:val="24"/>
        </w:rPr>
        <w:t xml:space="preserve">. Results are presented alongside the Pareto-optimal selection to support risk-informed human decision-making, completing the human-in-the-loop feedback architecture.</w:t>
      </w:r>
    </w:p>
    <w:p>
      <w:pPr>
        <w:spacing w:after="80" w:before="160" w:line="240"/>
        <w:jc w:val="left"/>
      </w:pPr>
      <w:r>
        <w:rPr>
          <w:rFonts w:ascii="Times New Roman" w:cs="Times New Roman" w:eastAsia="Times New Roman" w:hAnsi="Times New Roman"/>
          <w:b/>
          <w:bCs/>
          <w:sz w:val="24"/>
          <w:szCs w:val="24"/>
        </w:rPr>
        <w:t xml:space="preserve">3.5 Algorithmic Justification and Complexity</w:t>
      </w:r>
    </w:p>
    <w:p>
      <w:pPr>
        <w:spacing w:after="0" w:before="0" w:line="240"/>
        <w:jc w:val="both"/>
      </w:pPr>
      <w:r>
        <w:rPr>
          <w:rFonts w:ascii="Times New Roman" w:cs="Times New Roman" w:eastAsia="Times New Roman" w:hAnsi="Times New Roman"/>
          <w:b w:val="false"/>
          <w:bCs w:val="false"/>
          <w:i w:val="false"/>
          <w:iCs w:val="false"/>
          <w:sz w:val="24"/>
          <w:szCs w:val="24"/>
        </w:rPr>
        <w:t xml:space="preserve">The IPAO components were selected on principled grounds rather than convenience. NSGA-II was preferred over single-objective evolutionary methods because of its O(</w:t>
      </w:r>
      <w:r>
        <w:rPr>
          <w:rFonts w:ascii="Times New Roman" w:cs="Times New Roman" w:eastAsia="Times New Roman" w:hAnsi="Times New Roman"/>
          <w:i/>
          <w:iCs/>
          <w:sz w:val="24"/>
          <w:szCs w:val="24"/>
        </w:rPr>
        <w:t xml:space="preserve">M</w:t>
      </w:r>
      <w:r>
        <w:rPr>
          <w:rFonts w:ascii="Times New Roman" w:cs="Times New Roman" w:eastAsia="Times New Roman" w:hAnsi="Times New Roman"/>
          <w:i/>
          <w:iCs/>
          <w:sz w:val="24"/>
          <w:szCs w:val="24"/>
        </w:rPr>
        <w:t xml:space="preserve">N</w:t>
      </w:r>
      <w:r>
        <w:rPr>
          <w:rFonts w:ascii="Times New Roman" w:cs="Times New Roman" w:eastAsia="Times New Roman" w:hAnsi="Times New Roman"/>
          <w:sz w:val="24"/>
          <w:szCs w:val="24"/>
          <w:vertAlign w:val="superscript"/>
        </w:rPr>
        <w:t xml:space="preserve">2</w:t>
      </w:r>
      <w:r>
        <w:rPr>
          <w:rFonts w:ascii="Times New Roman" w:cs="Times New Roman" w:eastAsia="Times New Roman" w:hAnsi="Times New Roman"/>
          <w:b w:val="false"/>
          <w:bCs w:val="false"/>
          <w:i w:val="false"/>
          <w:iCs w:val="false"/>
          <w:sz w:val="24"/>
          <w:szCs w:val="24"/>
        </w:rPr>
        <w:t xml:space="preserve">) complexity per generation (with </w:t>
      </w:r>
      <w:r>
        <w:rPr>
          <w:rFonts w:ascii="Times New Roman" w:cs="Times New Roman" w:eastAsia="Times New Roman" w:hAnsi="Times New Roman"/>
          <w:i/>
          <w:iCs/>
          <w:sz w:val="24"/>
          <w:szCs w:val="24"/>
        </w:rPr>
        <w:t xml:space="preserve">M</w:t>
      </w:r>
      <w:r>
        <w:rPr>
          <w:rFonts w:ascii="Times New Roman" w:cs="Times New Roman" w:eastAsia="Times New Roman" w:hAnsi="Times New Roman"/>
          <w:b w:val="false"/>
          <w:bCs w:val="false"/>
          <w:i w:val="false"/>
          <w:iCs w:val="false"/>
          <w:sz w:val="24"/>
          <w:szCs w:val="24"/>
        </w:rPr>
        <w:t xml:space="preserve"> objectives and population </w:t>
      </w:r>
      <w:r>
        <w:rPr>
          <w:rFonts w:ascii="Times New Roman" w:cs="Times New Roman" w:eastAsia="Times New Roman" w:hAnsi="Times New Roman"/>
          <w:i/>
          <w:iCs/>
          <w:sz w:val="24"/>
          <w:szCs w:val="24"/>
        </w:rPr>
        <w:t xml:space="preserve">N</w:t>
      </w:r>
      <w:r>
        <w:rPr>
          <w:rFonts w:ascii="Times New Roman" w:cs="Times New Roman" w:eastAsia="Times New Roman" w:hAnsi="Times New Roman"/>
          <w:b w:val="false"/>
          <w:bCs w:val="false"/>
          <w:i w:val="false"/>
          <w:iCs w:val="false"/>
          <w:sz w:val="24"/>
          <w:szCs w:val="24"/>
        </w:rPr>
        <w:t xml:space="preserve"> [6]) and its preservation of solution diversity through crowding-distance selection — essential for informative Pareto frontiers in tri-objective formulations. Alternative algorithms were considered and rejected: MOEA/D imposes sensitivity to user-specified weight vectors that would duplicate the AHP layer; SPEA2's density-based archive selection is computationally redundant given the explicit ESG objective. AHP was retained over TOPSIS, ELECTRE, and PROMETHEE for the elicitation phase because of its native consistency-validation mechanism (the CR threshold) and its proven applicability to engineering and infrastructure decision contexts. Monte Carlo simulation was preferred over analytical methods (Cornish–Fisher expansions, copula-parametric VaR) because of compatibility with mixed parametric and empirical distributions and its tractability for non-Gaussian aggregation. The end-to-end pipeline executes in under three minutes on standard hardware (Intel i7, 32 GB RAM) for the 48-asset portfolio: AHP elicitation imposes negligible computational cost (&lt;1 s); NSGA-II requires approximately 90 s; Monte Carlo validation completes in approximately 60 s. This envelope supports interactive use by portfolio managers in scenario-exploration sessions.</w:t>
      </w:r>
    </w:p>
    <w:p>
      <w:pPr>
        <w:spacing w:after="120" w:before="200" w:line="240"/>
        <w:jc w:val="left"/>
      </w:pPr>
      <w:r>
        <w:rPr>
          <w:rFonts w:ascii="Times New Roman" w:cs="Times New Roman" w:eastAsia="Times New Roman" w:hAnsi="Times New Roman"/>
          <w:b/>
          <w:bCs/>
          <w:caps w:val="false"/>
          <w:sz w:val="24"/>
          <w:szCs w:val="24"/>
        </w:rPr>
        <w:t xml:space="preserve">4. RESULTS AND CASE STUDY</w:t>
      </w:r>
    </w:p>
    <w:p>
      <w:pPr>
        <w:spacing w:after="0" w:before="0" w:line="240"/>
        <w:jc w:val="both"/>
      </w:pPr>
      <w:r>
        <w:rPr>
          <w:rFonts w:ascii="Times New Roman" w:cs="Times New Roman" w:eastAsia="Times New Roman" w:hAnsi="Times New Roman"/>
          <w:sz w:val="24"/>
          <w:szCs w:val="24"/>
        </w:rPr>
        <w:t xml:space="preserve">The IPAO framework was validated on a synthetic portfolio of 48 industrial assets representing a hypothetical mixed energy-sector operator. The portfolio comprises renewable generation facilities (18 assets: wind, solar PV, and small hydro), conventional thermal units (12 assets: natural gas combined-cycle and co-generation), grid infrastructure (10 assets: transmission substations and distribution nodes), and industrial storage systems (8 assets: battery storage and pumped hydro). Asset-level parameters — financial performance metrics, operational reliability data, and ESG indicators — were generated using published European energy sector benchmarks [15] and validated for plausibility by two independent sector experts, ensuring that the synthetic portfolio exhibits realistic distributional characteristics and asset interdependencies.</w:t>
      </w:r>
    </w:p>
    <w:p>
      <w:pPr>
        <w:spacing w:after="0" w:before="0" w:line="240"/>
        <w:jc w:val="both"/>
      </w:pPr>
      <w:r>
        <w:rPr>
          <w:rFonts w:ascii="Times New Roman" w:cs="Times New Roman" w:eastAsia="Times New Roman" w:hAnsi="Times New Roman"/>
          <w:b w:val="false"/>
          <w:bCs w:val="false"/>
          <w:i w:val="false"/>
          <w:iCs w:val="false"/>
          <w:sz w:val="24"/>
          <w:szCs w:val="24"/>
        </w:rPr>
        <w:t xml:space="preserve">AHP elicitation yielded the following aggregate dimension weights: Financial Performance </w:t>
      </w:r>
      <w:r>
        <w:rPr>
          <w:rFonts w:ascii="Times New Roman" w:cs="Times New Roman" w:eastAsia="Times New Roman" w:hAnsi="Times New Roman"/>
          <w:i/>
          <w:iCs/>
          <w:sz w:val="24"/>
          <w:szCs w:val="24"/>
        </w:rPr>
        <w:t xml:space="preserve">w</w:t>
      </w:r>
      <w:r>
        <w:rPr>
          <w:rFonts w:ascii="Times New Roman" w:cs="Times New Roman" w:eastAsia="Times New Roman" w:hAnsi="Times New Roman"/>
          <w:i/>
          <w:iCs/>
          <w:sz w:val="24"/>
          <w:szCs w:val="24"/>
          <w:vertAlign w:val="subscript"/>
        </w:rPr>
        <w:t xml:space="preserve">FP</w:t>
      </w:r>
      <w:r>
        <w:rPr>
          <w:rFonts w:ascii="Times New Roman" w:cs="Times New Roman" w:eastAsia="Times New Roman" w:hAnsi="Times New Roman"/>
          <w:b w:val="false"/>
          <w:bCs w:val="false"/>
          <w:i w:val="false"/>
          <w:iCs w:val="false"/>
          <w:sz w:val="24"/>
          <w:szCs w:val="24"/>
        </w:rPr>
        <w:t xml:space="preserve"> = 0.42 (CR = 0.06), Operational Risk </w:t>
      </w:r>
      <w:r>
        <w:rPr>
          <w:rFonts w:ascii="Times New Roman" w:cs="Times New Roman" w:eastAsia="Times New Roman" w:hAnsi="Times New Roman"/>
          <w:i/>
          <w:iCs/>
          <w:sz w:val="24"/>
          <w:szCs w:val="24"/>
        </w:rPr>
        <w:t xml:space="preserve">w</w:t>
      </w:r>
      <w:r>
        <w:rPr>
          <w:rFonts w:ascii="Times New Roman" w:cs="Times New Roman" w:eastAsia="Times New Roman" w:hAnsi="Times New Roman"/>
          <w:i/>
          <w:iCs/>
          <w:sz w:val="24"/>
          <w:szCs w:val="24"/>
          <w:vertAlign w:val="subscript"/>
        </w:rPr>
        <w:t xml:space="preserve">OR</w:t>
      </w:r>
      <w:r>
        <w:rPr>
          <w:rFonts w:ascii="Times New Roman" w:cs="Times New Roman" w:eastAsia="Times New Roman" w:hAnsi="Times New Roman"/>
          <w:b w:val="false"/>
          <w:bCs w:val="false"/>
          <w:i w:val="false"/>
          <w:iCs w:val="false"/>
          <w:sz w:val="24"/>
          <w:szCs w:val="24"/>
        </w:rPr>
        <w:t xml:space="preserve"> = 0.35 (CR = 0.08), ESG Compliance </w:t>
      </w:r>
      <w:r>
        <w:rPr>
          <w:rFonts w:ascii="Times New Roman" w:cs="Times New Roman" w:eastAsia="Times New Roman" w:hAnsi="Times New Roman"/>
          <w:i/>
          <w:iCs/>
          <w:sz w:val="24"/>
          <w:szCs w:val="24"/>
        </w:rPr>
        <w:t xml:space="preserve">w</w:t>
      </w:r>
      <w:r>
        <w:rPr>
          <w:rFonts w:ascii="Times New Roman" w:cs="Times New Roman" w:eastAsia="Times New Roman" w:hAnsi="Times New Roman"/>
          <w:i/>
          <w:iCs/>
          <w:sz w:val="24"/>
          <w:szCs w:val="24"/>
          <w:vertAlign w:val="subscript"/>
        </w:rPr>
        <w:t xml:space="preserve">ESG</w:t>
      </w:r>
      <w:r>
        <w:rPr>
          <w:rFonts w:ascii="Times New Roman" w:cs="Times New Roman" w:eastAsia="Times New Roman" w:hAnsi="Times New Roman"/>
          <w:b w:val="false"/>
          <w:bCs w:val="false"/>
          <w:i w:val="false"/>
          <w:iCs w:val="false"/>
          <w:sz w:val="24"/>
          <w:szCs w:val="24"/>
        </w:rPr>
        <w:t xml:space="preserve"> = 0.23 (CR = 0.07), all satisfying the CR &lt; 0.10 consistency threshold. Within the FP dimension, NPV received the highest intra-cluster weight (0.51), reflecting the panel's emphasis on long-term value creation over short-term return metrics. Within OR, MTBF was weighted at 0.48, consistent with the operational criticality of generation asset availability in a mixed portfolio. Within ESG, carbon intensity received the dominant weight (0.58), reflecting current regulatory exposure to EU Emissions Trading System (ETS) obligations.</w:t>
      </w:r>
    </w:p>
    <w:p>
      <w:pPr>
        <w:spacing w:after="0" w:before="0" w:line="240"/>
        <w:jc w:val="both"/>
      </w:pPr>
      <w:r>
        <w:rPr>
          <w:rFonts w:ascii="Times New Roman" w:cs="Times New Roman" w:eastAsia="Times New Roman" w:hAnsi="Times New Roman"/>
          <w:sz w:val="24"/>
          <w:szCs w:val="24"/>
        </w:rPr>
        <w:t xml:space="preserve">NSGA-II was executed for 500 generations with a population size of 200 solutions, yielding a Pareto frontier of 47 non-dominated configurations. Table 1 presents the comparative performance of the IPAO-selected Pareto solution (minimum distance to the utopia point) against three baseline approaches: mean-variance optimization (MVO), single-objective cost minimization (SOCM), and equal-weight allocation (EWA).</w:t>
      </w:r>
    </w:p>
    <w:p>
      <w:pPr>
        <w:spacing w:after="40" w:before="120" w:line="240"/>
        <w:jc w:val="right"/>
      </w:pPr>
      <w:r>
        <w:rPr>
          <w:rFonts w:ascii="Times New Roman" w:cs="Times New Roman" w:eastAsia="Times New Roman" w:hAnsi="Times New Roman"/>
          <w:i/>
          <w:iCs/>
          <w:sz w:val="20"/>
          <w:szCs w:val="20"/>
        </w:rPr>
        <w:t xml:space="preserve">Table 1</w:t>
      </w:r>
    </w:p>
    <w:p>
      <w:pPr>
        <w:spacing w:after="80" w:before="0" w:line="240"/>
        <w:jc w:val="center"/>
      </w:pPr>
      <w:r>
        <w:rPr>
          <w:rFonts w:ascii="Times New Roman" w:cs="Times New Roman" w:eastAsia="Times New Roman" w:hAnsi="Times New Roman"/>
          <w:b/>
          <w:bCs/>
          <w:sz w:val="20"/>
          <w:szCs w:val="20"/>
        </w:rPr>
        <w:t xml:space="preserve">Comparative performance of portfolio optimization approaches (normalized scores [0,1]).</w:t>
      </w:r>
    </w:p>
    <w:tbl>
      <w:tblPr>
        <w:tblW w:type="dxa" w:w="4500"/>
        <w:tblBorders>
          <w:top w:val="single" w:color="auto" w:sz="4"/>
          <w:left w:val="single" w:color="auto" w:sz="4"/>
          <w:bottom w:val="single" w:color="auto" w:sz="4"/>
          <w:right w:val="single" w:color="auto" w:sz="4"/>
          <w:insideH w:val="single" w:color="auto" w:sz="4"/>
          <w:insideV w:val="single" w:color="auto" w:sz="4"/>
        </w:tblBorders>
      </w:tblPr>
      <w:tblGrid>
        <w:gridCol w:w="1300"/>
        <w:gridCol w:w="800"/>
        <w:gridCol w:w="850"/>
        <w:gridCol w:w="850"/>
        <w:gridCol w:w="700"/>
      </w:tblGrid>
      <w:tr>
        <w:tc>
          <w:tcPr>
            <w:tcW w:type="dxa" w:w="1300"/>
            <w:tcBorders>
              <w:top w:val="single" w:color="000000" w:sz="4"/>
              <w:left w:val="single" w:color="000000" w:sz="4"/>
              <w:bottom w:val="single" w:color="000000" w:sz="4"/>
              <w:right w:val="single" w:color="000000" w:sz="4"/>
            </w:tcBorders>
            <w:shd w:fill="EFEFEF" w:color="auto" w:val="clear"/>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Method</w:t>
            </w:r>
          </w:p>
        </w:tc>
        <w:tc>
          <w:tcPr>
            <w:tcW w:type="dxa" w:w="800"/>
            <w:tcBorders>
              <w:top w:val="single" w:color="000000" w:sz="4"/>
              <w:left w:val="single" w:color="000000" w:sz="4"/>
              <w:bottom w:val="single" w:color="000000" w:sz="4"/>
              <w:right w:val="single" w:color="000000" w:sz="4"/>
            </w:tcBorders>
            <w:shd w:fill="EFEFEF" w:color="auto" w:val="clear"/>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FP</w:t>
            </w:r>
          </w:p>
        </w:tc>
        <w:tc>
          <w:tcPr>
            <w:tcW w:type="dxa" w:w="850"/>
            <w:tcBorders>
              <w:top w:val="single" w:color="000000" w:sz="4"/>
              <w:left w:val="single" w:color="000000" w:sz="4"/>
              <w:bottom w:val="single" w:color="000000" w:sz="4"/>
              <w:right w:val="single" w:color="000000" w:sz="4"/>
            </w:tcBorders>
            <w:shd w:fill="EFEFEF" w:color="auto" w:val="clear"/>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Risk</w:t>
            </w:r>
          </w:p>
        </w:tc>
        <w:tc>
          <w:tcPr>
            <w:tcW w:type="dxa" w:w="850"/>
            <w:tcBorders>
              <w:top w:val="single" w:color="000000" w:sz="4"/>
              <w:left w:val="single" w:color="000000" w:sz="4"/>
              <w:bottom w:val="single" w:color="000000" w:sz="4"/>
              <w:right w:val="single" w:color="000000" w:sz="4"/>
            </w:tcBorders>
            <w:shd w:fill="EFEFEF" w:color="auto" w:val="clear"/>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ESG</w:t>
            </w:r>
          </w:p>
        </w:tc>
        <w:tc>
          <w:tcPr>
            <w:tcW w:type="dxa" w:w="700"/>
            <w:tcBorders>
              <w:top w:val="single" w:color="000000" w:sz="4"/>
              <w:left w:val="single" w:color="000000" w:sz="4"/>
              <w:bottom w:val="single" w:color="000000" w:sz="4"/>
              <w:right w:val="single" w:color="000000" w:sz="4"/>
            </w:tcBorders>
            <w:shd w:fill="EFEFEF" w:color="auto" w:val="clear"/>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Comp.</w:t>
            </w:r>
          </w:p>
        </w:tc>
      </w:tr>
      <w:tr>
        <w:tc>
          <w:tcPr>
            <w:tcW w:type="dxa" w:w="13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MVO</w:t>
            </w:r>
          </w:p>
        </w:tc>
        <w:tc>
          <w:tcPr>
            <w:tcW w:type="dxa" w:w="8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0.742</w:t>
            </w:r>
          </w:p>
        </w:tc>
        <w:tc>
          <w:tcPr>
            <w:tcW w:type="dxa" w:w="8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0.631</w:t>
            </w:r>
          </w:p>
        </w:tc>
        <w:tc>
          <w:tcPr>
            <w:tcW w:type="dxa" w:w="8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0.448</w:t>
            </w:r>
          </w:p>
        </w:tc>
        <w:tc>
          <w:tcPr>
            <w:tcW w:type="dxa" w:w="7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0.607</w:t>
            </w:r>
          </w:p>
        </w:tc>
      </w:tr>
      <w:tr>
        <w:tc>
          <w:tcPr>
            <w:tcW w:type="dxa" w:w="13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SOCM</w:t>
            </w:r>
          </w:p>
        </w:tc>
        <w:tc>
          <w:tcPr>
            <w:tcW w:type="dxa" w:w="8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0.681</w:t>
            </w:r>
          </w:p>
        </w:tc>
        <w:tc>
          <w:tcPr>
            <w:tcW w:type="dxa" w:w="8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0.798</w:t>
            </w:r>
          </w:p>
        </w:tc>
        <w:tc>
          <w:tcPr>
            <w:tcW w:type="dxa" w:w="8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0.512</w:t>
            </w:r>
          </w:p>
        </w:tc>
        <w:tc>
          <w:tcPr>
            <w:tcW w:type="dxa" w:w="7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0.664</w:t>
            </w:r>
          </w:p>
        </w:tc>
      </w:tr>
      <w:tr>
        <w:tc>
          <w:tcPr>
            <w:tcW w:type="dxa" w:w="13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EWA</w:t>
            </w:r>
          </w:p>
        </w:tc>
        <w:tc>
          <w:tcPr>
            <w:tcW w:type="dxa" w:w="8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0.653</w:t>
            </w:r>
          </w:p>
        </w:tc>
        <w:tc>
          <w:tcPr>
            <w:tcW w:type="dxa" w:w="8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0.701</w:t>
            </w:r>
          </w:p>
        </w:tc>
        <w:tc>
          <w:tcPr>
            <w:tcW w:type="dxa" w:w="8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0.587</w:t>
            </w:r>
          </w:p>
        </w:tc>
        <w:tc>
          <w:tcPr>
            <w:tcW w:type="dxa" w:w="7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0.647</w:t>
            </w:r>
          </w:p>
        </w:tc>
      </w:tr>
      <w:tr>
        <w:tc>
          <w:tcPr>
            <w:tcW w:type="dxa" w:w="13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IPAO</w:t>
            </w:r>
          </w:p>
        </w:tc>
        <w:tc>
          <w:tcPr>
            <w:tcW w:type="dxa" w:w="8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0.789</w:t>
            </w:r>
          </w:p>
        </w:tc>
        <w:tc>
          <w:tcPr>
            <w:tcW w:type="dxa" w:w="8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0.821</w:t>
            </w:r>
          </w:p>
        </w:tc>
        <w:tc>
          <w:tcPr>
            <w:tcW w:type="dxa" w:w="8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0.743</w:t>
            </w:r>
          </w:p>
        </w:tc>
        <w:tc>
          <w:tcPr>
            <w:tcW w:type="dxa" w:w="7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0.784</w:t>
            </w:r>
          </w:p>
        </w:tc>
      </w:tr>
    </w:tbl>
    <w:p>
      <w:pPr>
        <w:spacing w:after="0" w:before="0" w:line="240"/>
        <w:jc w:val="both"/>
      </w:pPr>
      <w:r>
        <w:rPr>
          <w:rFonts w:ascii="Times New Roman" w:cs="Times New Roman" w:eastAsia="Times New Roman" w:hAnsi="Times New Roman"/>
          <w:sz w:val="24"/>
          <w:szCs w:val="24"/>
        </w:rPr>
        <w:t xml:space="preserve">The IPAO composite score of 0.784 represents a 29.2% improvement over MVO (0.607) on the unified objective metric. ESG compliance improved by 65.8% relative to MVO, confirming that single-criterion financial optimization creates systematic under-performance on sustainability dimensions — a structurally important finding for organizations navigating EU Taxonomy reporting requirements. SOCM achieved the highest Risk Score (0.798) but at the cost of substantially reduced financial performance and ESG compliance, illustrating the classic multi-objective trade-off that a uni-dimensional optimization approach cannot navigate. EWA, despite its simplicity, yielded competitive ESG scores (0.587) but failed to match IPAO's risk management effectiveness, as the absence of deliberate risk-weighting leads to inadvertent exposure concentration.</w:t>
      </w:r>
    </w:p>
    <w:p>
      <w:pPr>
        <w:spacing w:after="60" w:before="120" w:line="240"/>
        <w:jc w:val="center"/>
      </w:pPr>
      <w:r>
        <w:rPr>
          <w:rFonts w:ascii="Times New Roman" w:cs="Times New Roman" w:eastAsia="Times New Roman" w:hAnsi="Times New Roman"/>
          <w:i/>
          <w:iCs/>
          <w:sz w:val="20"/>
          <w:szCs w:val="20"/>
        </w:rPr>
        <w:t xml:space="preserve">[ Fig. 2 — NSGA-II Pareto frontier: F₁ (Financial Performance) vs. F₃ (ESG Compliance) at fixed F₂ = 0.80 ]</w:t>
      </w:r>
    </w:p>
    <w:p>
      <w:pPr>
        <w:spacing w:after="120" w:before="60" w:line="240"/>
        <w:jc w:val="center"/>
      </w:pPr>
      <w:r>
        <w:rPr>
          <w:rFonts w:ascii="Times New Roman" w:cs="Times New Roman" w:eastAsia="Times New Roman" w:hAnsi="Times New Roman"/>
          <w:b/>
          <w:bCs/>
          <w:sz w:val="20"/>
          <w:szCs w:val="20"/>
        </w:rPr>
        <w:t xml:space="preserve">Fig. 2. </w:t>
      </w:r>
      <w:r>
        <w:rPr>
          <w:rFonts w:ascii="Times New Roman" w:cs="Times New Roman" w:eastAsia="Times New Roman" w:hAnsi="Times New Roman"/>
          <w:sz w:val="20"/>
          <w:szCs w:val="20"/>
        </w:rPr>
        <w:t xml:space="preserve">NSGA-II Pareto frontier for the 48-asset portfolio: FP vs. ESG trade-off surface.</w:t>
      </w:r>
    </w:p>
    <w:p>
      <w:pPr>
        <w:spacing w:after="0" w:before="0" w:line="240"/>
        <w:jc w:val="both"/>
      </w:pPr>
      <w:r>
        <w:rPr>
          <w:rFonts w:ascii="Times New Roman" w:cs="Times New Roman" w:eastAsia="Times New Roman" w:hAnsi="Times New Roman"/>
          <w:sz w:val="24"/>
          <w:szCs w:val="24"/>
        </w:rPr>
        <w:t xml:space="preserve">Figure 2 reveals that ESG compliance improvements of up to 31 percentage points can be achieved with a financial performance sacrifice of less than 8% — a finding with material strategic implications for industrial operators subject to both profitability mandates and sustainability reporting obligations. Monte Carlo validation confirmed portfolio robustness: VaR95 for the IPAO-selected solution was contained within 12.3% of expected return, compared to 18.7% for MVO — a 34.2% reduction in tail risk. CVaR95 showed a comparable pattern (14.8% vs. 22.1%), indicating that improved ESG integration correlates with reduced extreme downside exposure, consistent with empirical evidence from financial portfolio ESG research.</w:t>
      </w:r>
    </w:p>
    <w:p>
      <w:pPr>
        <w:spacing w:after="0" w:before="0" w:line="240"/>
        <w:jc w:val="both"/>
      </w:pPr>
      <w:r>
        <w:rPr>
          <w:rFonts w:ascii="Times New Roman" w:cs="Times New Roman" w:eastAsia="Times New Roman" w:hAnsi="Times New Roman"/>
          <w:sz w:val="24"/>
          <w:szCs w:val="24"/>
        </w:rPr>
        <w:t xml:space="preserve">The XAI reporting module generated SHAP (SHapley Additive exPlanations) value decompositions for each portfolio inclusion decision, enabling portfolio managers to trace quantitatively the marginal contribution of individual criteria — and their interactions — to each asset's inclusion or exclusion outcome. For renewable generation assets, carbon intensity and NPV jointly drove inclusion decisions, while for conventional thermal units, MTBF and RCI were the dominant explanatory factors. This granular explainability directly addresses the governance requirements identified in Section 2 and is compatible with the documentation and transparency obligations prescribed under the EU AI Act for high-risk AI systems applied in critical infrastructure contexts [16].</w:t>
      </w:r>
    </w:p>
    <w:p>
      <w:pPr>
        <w:spacing w:after="80" w:before="160" w:line="240"/>
        <w:jc w:val="left"/>
      </w:pPr>
      <w:r>
        <w:rPr>
          <w:rFonts w:ascii="Times New Roman" w:cs="Times New Roman" w:eastAsia="Times New Roman" w:hAnsi="Times New Roman"/>
          <w:b/>
          <w:bCs/>
          <w:sz w:val="24"/>
          <w:szCs w:val="24"/>
        </w:rPr>
        <w:t xml:space="preserve">4.5 Pareto Frontier Structure and Managerial Choice</w:t>
      </w:r>
    </w:p>
    <w:p>
      <w:pPr>
        <w:spacing w:after="0" w:before="0" w:line="240"/>
        <w:jc w:val="both"/>
      </w:pPr>
      <w:r>
        <w:rPr>
          <w:rFonts w:ascii="Times New Roman" w:cs="Times New Roman" w:eastAsia="Times New Roman" w:hAnsi="Times New Roman"/>
          <w:b w:val="false"/>
          <w:bCs w:val="false"/>
          <w:i w:val="false"/>
          <w:iCs w:val="false"/>
          <w:sz w:val="24"/>
          <w:szCs w:val="24"/>
        </w:rPr>
        <w:t xml:space="preserve">The 47 Pareto-optimal configurations exhibit informative structural patterns relevant to managerial choice. Cluster analysis (</w:t>
      </w:r>
      <w:r>
        <w:rPr>
          <w:rFonts w:ascii="Times New Roman" w:cs="Times New Roman" w:eastAsia="Times New Roman" w:hAnsi="Times New Roman"/>
          <w:i/>
          <w:iCs/>
          <w:sz w:val="24"/>
          <w:szCs w:val="24"/>
        </w:rPr>
        <w:t xml:space="preserve">k</w:t>
      </w:r>
      <w:r>
        <w:rPr>
          <w:rFonts w:ascii="Times New Roman" w:cs="Times New Roman" w:eastAsia="Times New Roman" w:hAnsi="Times New Roman"/>
          <w:b w:val="false"/>
          <w:bCs w:val="false"/>
          <w:i w:val="false"/>
          <w:iCs w:val="false"/>
          <w:sz w:val="24"/>
          <w:szCs w:val="24"/>
        </w:rPr>
        <w:t xml:space="preserve">-means, </w:t>
      </w:r>
      <w:r>
        <w:rPr>
          <w:rFonts w:ascii="Times New Roman" w:cs="Times New Roman" w:eastAsia="Times New Roman" w:hAnsi="Times New Roman"/>
          <w:i/>
          <w:iCs/>
          <w:sz w:val="24"/>
          <w:szCs w:val="24"/>
        </w:rPr>
        <w:t xml:space="preserve">k</w:t>
      </w:r>
      <w:r>
        <w:rPr>
          <w:rFonts w:ascii="Times New Roman" w:cs="Times New Roman" w:eastAsia="Times New Roman" w:hAnsi="Times New Roman"/>
          <w:b w:val="false"/>
          <w:bCs w:val="false"/>
          <w:i w:val="false"/>
          <w:iCs w:val="false"/>
          <w:sz w:val="24"/>
          <w:szCs w:val="24"/>
        </w:rPr>
        <w:t xml:space="preserve"> = 4) of the Pareto set in normalized objective space identifies four distinct strategic archetypes: (i) </w:t>
      </w:r>
      <w:r>
        <w:rPr>
          <w:rFonts w:ascii="Times New Roman" w:cs="Times New Roman" w:eastAsia="Times New Roman" w:hAnsi="Times New Roman"/>
          <w:b w:val="false"/>
          <w:bCs w:val="false"/>
          <w:i/>
          <w:iCs/>
          <w:sz w:val="24"/>
          <w:szCs w:val="24"/>
        </w:rPr>
        <w:t xml:space="preserve">financial-priority</w:t>
      </w:r>
      <w:r>
        <w:rPr>
          <w:rFonts w:ascii="Times New Roman" w:cs="Times New Roman" w:eastAsia="Times New Roman" w:hAnsi="Times New Roman"/>
          <w:b w:val="false"/>
          <w:bCs w:val="false"/>
          <w:i w:val="false"/>
          <w:iCs w:val="false"/>
          <w:sz w:val="24"/>
          <w:szCs w:val="24"/>
        </w:rPr>
        <w:t xml:space="preserve"> portfolios (12 solutions, mean F</w:t>
      </w:r>
      <w:r>
        <w:rPr>
          <w:rFonts w:ascii="Times New Roman" w:cs="Times New Roman" w:eastAsia="Times New Roman" w:hAnsi="Times New Roman"/>
          <w:sz w:val="24"/>
          <w:szCs w:val="24"/>
          <w:vertAlign w:val="subscript"/>
        </w:rPr>
        <w:t xml:space="preserve">1</w:t>
      </w:r>
      <w:r>
        <w:rPr>
          <w:rFonts w:ascii="Times New Roman" w:cs="Times New Roman" w:eastAsia="Times New Roman" w:hAnsi="Times New Roman"/>
          <w:b w:val="false"/>
          <w:bCs w:val="false"/>
          <w:i w:val="false"/>
          <w:iCs w:val="false"/>
          <w:sz w:val="24"/>
          <w:szCs w:val="24"/>
        </w:rPr>
        <w:t xml:space="preserve"> = 0.82) over-weighting renewable generation and high-MTBF thermal units; (ii) </w:t>
      </w:r>
      <w:r>
        <w:rPr>
          <w:rFonts w:ascii="Times New Roman" w:cs="Times New Roman" w:eastAsia="Times New Roman" w:hAnsi="Times New Roman"/>
          <w:b w:val="false"/>
          <w:bCs w:val="false"/>
          <w:i/>
          <w:iCs/>
          <w:sz w:val="24"/>
          <w:szCs w:val="24"/>
        </w:rPr>
        <w:t xml:space="preserve">risk-priority</w:t>
      </w:r>
      <w:r>
        <w:rPr>
          <w:rFonts w:ascii="Times New Roman" w:cs="Times New Roman" w:eastAsia="Times New Roman" w:hAnsi="Times New Roman"/>
          <w:b w:val="false"/>
          <w:bCs w:val="false"/>
          <w:i w:val="false"/>
          <w:iCs w:val="false"/>
          <w:sz w:val="24"/>
          <w:szCs w:val="24"/>
        </w:rPr>
        <w:t xml:space="preserve"> portfolios (9 solutions, mean F</w:t>
      </w:r>
      <w:r>
        <w:rPr>
          <w:rFonts w:ascii="Times New Roman" w:cs="Times New Roman" w:eastAsia="Times New Roman" w:hAnsi="Times New Roman"/>
          <w:sz w:val="24"/>
          <w:szCs w:val="24"/>
          <w:vertAlign w:val="subscript"/>
        </w:rPr>
        <w:t xml:space="preserve">2</w:t>
      </w:r>
      <w:r>
        <w:rPr>
          <w:rFonts w:ascii="Times New Roman" w:cs="Times New Roman" w:eastAsia="Times New Roman" w:hAnsi="Times New Roman"/>
          <w:b w:val="false"/>
          <w:bCs w:val="false"/>
          <w:i w:val="false"/>
          <w:iCs w:val="false"/>
          <w:sz w:val="24"/>
          <w:szCs w:val="24"/>
        </w:rPr>
        <w:t xml:space="preserve"> = 0.86) emphasizing diversified storage and grid infrastructure; (iii) </w:t>
      </w:r>
      <w:r>
        <w:rPr>
          <w:rFonts w:ascii="Times New Roman" w:cs="Times New Roman" w:eastAsia="Times New Roman" w:hAnsi="Times New Roman"/>
          <w:b w:val="false"/>
          <w:bCs w:val="false"/>
          <w:i/>
          <w:iCs/>
          <w:sz w:val="24"/>
          <w:szCs w:val="24"/>
        </w:rPr>
        <w:t xml:space="preserve">ESG-priority</w:t>
      </w:r>
      <w:r>
        <w:rPr>
          <w:rFonts w:ascii="Times New Roman" w:cs="Times New Roman" w:eastAsia="Times New Roman" w:hAnsi="Times New Roman"/>
          <w:b w:val="false"/>
          <w:bCs w:val="false"/>
          <w:i w:val="false"/>
          <w:iCs w:val="false"/>
          <w:sz w:val="24"/>
          <w:szCs w:val="24"/>
        </w:rPr>
        <w:t xml:space="preserve"> portfolios (15 solutions, mean F</w:t>
      </w:r>
      <w:r>
        <w:rPr>
          <w:rFonts w:ascii="Times New Roman" w:cs="Times New Roman" w:eastAsia="Times New Roman" w:hAnsi="Times New Roman"/>
          <w:sz w:val="24"/>
          <w:szCs w:val="24"/>
          <w:vertAlign w:val="subscript"/>
        </w:rPr>
        <w:t xml:space="preserve">3</w:t>
      </w:r>
      <w:r>
        <w:rPr>
          <w:rFonts w:ascii="Times New Roman" w:cs="Times New Roman" w:eastAsia="Times New Roman" w:hAnsi="Times New Roman"/>
          <w:b w:val="false"/>
          <w:bCs w:val="false"/>
          <w:i w:val="false"/>
          <w:iCs w:val="false"/>
          <w:sz w:val="24"/>
          <w:szCs w:val="24"/>
        </w:rPr>
        <w:t xml:space="preserve"> = 0.79) maximizing renewable share; and (iv) </w:t>
      </w:r>
      <w:r>
        <w:rPr>
          <w:rFonts w:ascii="Times New Roman" w:cs="Times New Roman" w:eastAsia="Times New Roman" w:hAnsi="Times New Roman"/>
          <w:b w:val="false"/>
          <w:bCs w:val="false"/>
          <w:i/>
          <w:iCs/>
          <w:sz w:val="24"/>
          <w:szCs w:val="24"/>
        </w:rPr>
        <w:t xml:space="preserve">balanced</w:t>
      </w:r>
      <w:r>
        <w:rPr>
          <w:rFonts w:ascii="Times New Roman" w:cs="Times New Roman" w:eastAsia="Times New Roman" w:hAnsi="Times New Roman"/>
          <w:b w:val="false"/>
          <w:bCs w:val="false"/>
          <w:i w:val="false"/>
          <w:iCs w:val="false"/>
          <w:sz w:val="24"/>
          <w:szCs w:val="24"/>
        </w:rPr>
        <w:t xml:space="preserve"> portfolios (11 solutions, mean composite = 0.78) — the cluster from which the IPAO recommendation in Table 1 was drawn. Table 2 summarizes representative solutions from each archetype, illustrating the trade-off envelope visible to portfolio managers at the human decision interface.</w:t>
      </w:r>
    </w:p>
    <w:p>
      <w:pPr>
        <w:spacing w:after="40" w:before="120" w:line="240"/>
        <w:jc w:val="right"/>
      </w:pPr>
      <w:r>
        <w:rPr>
          <w:rFonts w:ascii="Times New Roman" w:cs="Times New Roman" w:eastAsia="Times New Roman" w:hAnsi="Times New Roman"/>
          <w:i/>
          <w:iCs/>
          <w:sz w:val="20"/>
          <w:szCs w:val="20"/>
        </w:rPr>
        <w:t xml:space="preserve">Table 2</w:t>
      </w:r>
    </w:p>
    <w:p>
      <w:pPr>
        <w:spacing w:after="80" w:before="0" w:line="240"/>
        <w:jc w:val="center"/>
      </w:pPr>
      <w:r>
        <w:rPr>
          <w:rFonts w:ascii="Times New Roman" w:cs="Times New Roman" w:eastAsia="Times New Roman" w:hAnsi="Times New Roman"/>
          <w:b/>
          <w:bCs/>
          <w:sz w:val="20"/>
          <w:szCs w:val="20"/>
        </w:rPr>
        <w:t xml:space="preserve">Representative Pareto archetypes from the 47-solution frontier.</w:t>
      </w:r>
    </w:p>
    <w:tbl>
      <w:tblPr>
        <w:tblW w:type="dxa" w:w="4500"/>
        <w:tblBorders>
          <w:top w:val="single" w:color="auto" w:sz="4"/>
          <w:left w:val="single" w:color="auto" w:sz="4"/>
          <w:bottom w:val="single" w:color="auto" w:sz="4"/>
          <w:right w:val="single" w:color="auto" w:sz="4"/>
          <w:insideH w:val="single" w:color="auto" w:sz="4"/>
          <w:insideV w:val="single" w:color="auto" w:sz="4"/>
        </w:tblBorders>
      </w:tblPr>
      <w:tblGrid>
        <w:gridCol w:w="1300"/>
        <w:gridCol w:w="700"/>
        <w:gridCol w:w="750"/>
        <w:gridCol w:w="750"/>
        <w:gridCol w:w="1000"/>
      </w:tblGrid>
      <w:tr>
        <w:tc>
          <w:tcPr>
            <w:tcW w:type="dxa" w:w="1300"/>
            <w:tcBorders>
              <w:top w:val="single" w:color="000000" w:sz="4"/>
              <w:left w:val="single" w:color="000000" w:sz="4"/>
              <w:bottom w:val="single" w:color="000000" w:sz="4"/>
              <w:right w:val="single" w:color="000000" w:sz="4"/>
            </w:tcBorders>
            <w:shd w:fill="EFEFEF" w:color="auto" w:val="clear"/>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Archetype</w:t>
            </w:r>
          </w:p>
        </w:tc>
        <w:tc>
          <w:tcPr>
            <w:tcW w:type="dxa" w:w="700"/>
            <w:tcBorders>
              <w:top w:val="single" w:color="000000" w:sz="4"/>
              <w:left w:val="single" w:color="000000" w:sz="4"/>
              <w:bottom w:val="single" w:color="000000" w:sz="4"/>
              <w:right w:val="single" w:color="000000" w:sz="4"/>
            </w:tcBorders>
            <w:shd w:fill="EFEFEF" w:color="auto" w:val="clear"/>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FP</w:t>
            </w:r>
          </w:p>
        </w:tc>
        <w:tc>
          <w:tcPr>
            <w:tcW w:type="dxa" w:w="750"/>
            <w:tcBorders>
              <w:top w:val="single" w:color="000000" w:sz="4"/>
              <w:left w:val="single" w:color="000000" w:sz="4"/>
              <w:bottom w:val="single" w:color="000000" w:sz="4"/>
              <w:right w:val="single" w:color="000000" w:sz="4"/>
            </w:tcBorders>
            <w:shd w:fill="EFEFEF" w:color="auto" w:val="clear"/>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Risk</w:t>
            </w:r>
          </w:p>
        </w:tc>
        <w:tc>
          <w:tcPr>
            <w:tcW w:type="dxa" w:w="750"/>
            <w:tcBorders>
              <w:top w:val="single" w:color="000000" w:sz="4"/>
              <w:left w:val="single" w:color="000000" w:sz="4"/>
              <w:bottom w:val="single" w:color="000000" w:sz="4"/>
              <w:right w:val="single" w:color="000000" w:sz="4"/>
            </w:tcBorders>
            <w:shd w:fill="EFEFEF" w:color="auto" w:val="clear"/>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ESG</w:t>
            </w:r>
          </w:p>
        </w:tc>
        <w:tc>
          <w:tcPr>
            <w:tcW w:type="dxa" w:w="1000"/>
            <w:tcBorders>
              <w:top w:val="single" w:color="000000" w:sz="4"/>
              <w:left w:val="single" w:color="000000" w:sz="4"/>
              <w:bottom w:val="single" w:color="000000" w:sz="4"/>
              <w:right w:val="single" w:color="000000" w:sz="4"/>
            </w:tcBorders>
            <w:shd w:fill="EFEFEF" w:color="auto" w:val="clear"/>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 assets</w:t>
            </w:r>
          </w:p>
        </w:tc>
      </w:tr>
      <w:tr>
        <w:tc>
          <w:tcPr>
            <w:tcW w:type="dxa" w:w="13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Financial</w:t>
            </w:r>
          </w:p>
        </w:tc>
        <w:tc>
          <w:tcPr>
            <w:tcW w:type="dxa" w:w="7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0.82</w:t>
            </w:r>
          </w:p>
        </w:tc>
        <w:tc>
          <w:tcPr>
            <w:tcW w:type="dxa" w:w="7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0.71</w:t>
            </w:r>
          </w:p>
        </w:tc>
        <w:tc>
          <w:tcPr>
            <w:tcW w:type="dxa" w:w="7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0.62</w:t>
            </w:r>
          </w:p>
        </w:tc>
        <w:tc>
          <w:tcPr>
            <w:tcW w:type="dxa" w:w="10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34</w:t>
            </w:r>
          </w:p>
        </w:tc>
      </w:tr>
      <w:tr>
        <w:tc>
          <w:tcPr>
            <w:tcW w:type="dxa" w:w="13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Risk</w:t>
            </w:r>
          </w:p>
        </w:tc>
        <w:tc>
          <w:tcPr>
            <w:tcW w:type="dxa" w:w="7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0.74</w:t>
            </w:r>
          </w:p>
        </w:tc>
        <w:tc>
          <w:tcPr>
            <w:tcW w:type="dxa" w:w="7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0.86</w:t>
            </w:r>
          </w:p>
        </w:tc>
        <w:tc>
          <w:tcPr>
            <w:tcW w:type="dxa" w:w="7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0.65</w:t>
            </w:r>
          </w:p>
        </w:tc>
        <w:tc>
          <w:tcPr>
            <w:tcW w:type="dxa" w:w="10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28</w:t>
            </w:r>
          </w:p>
        </w:tc>
      </w:tr>
      <w:tr>
        <w:tc>
          <w:tcPr>
            <w:tcW w:type="dxa" w:w="13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ESG</w:t>
            </w:r>
          </w:p>
        </w:tc>
        <w:tc>
          <w:tcPr>
            <w:tcW w:type="dxa" w:w="7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0.71</w:t>
            </w:r>
          </w:p>
        </w:tc>
        <w:tc>
          <w:tcPr>
            <w:tcW w:type="dxa" w:w="7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0.74</w:t>
            </w:r>
          </w:p>
        </w:tc>
        <w:tc>
          <w:tcPr>
            <w:tcW w:type="dxa" w:w="7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0.79</w:t>
            </w:r>
          </w:p>
        </w:tc>
        <w:tc>
          <w:tcPr>
            <w:tcW w:type="dxa" w:w="10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30</w:t>
            </w:r>
          </w:p>
        </w:tc>
      </w:tr>
      <w:tr>
        <w:tc>
          <w:tcPr>
            <w:tcW w:type="dxa" w:w="13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Balanced (IPAO)</w:t>
            </w:r>
          </w:p>
        </w:tc>
        <w:tc>
          <w:tcPr>
            <w:tcW w:type="dxa" w:w="7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0.79</w:t>
            </w:r>
          </w:p>
        </w:tc>
        <w:tc>
          <w:tcPr>
            <w:tcW w:type="dxa" w:w="7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0.82</w:t>
            </w:r>
          </w:p>
        </w:tc>
        <w:tc>
          <w:tcPr>
            <w:tcW w:type="dxa" w:w="75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0.74</w:t>
            </w:r>
          </w:p>
        </w:tc>
        <w:tc>
          <w:tcPr>
            <w:tcW w:type="dxa" w:w="10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32</w:t>
            </w:r>
          </w:p>
        </w:tc>
      </w:tr>
    </w:tbl>
    <w:p>
      <w:pPr>
        <w:spacing w:after="80" w:before="160" w:line="240"/>
        <w:jc w:val="left"/>
      </w:pPr>
      <w:r>
        <w:rPr>
          <w:rFonts w:ascii="Times New Roman" w:cs="Times New Roman" w:eastAsia="Times New Roman" w:hAnsi="Times New Roman"/>
          <w:b/>
          <w:bCs/>
          <w:sz w:val="24"/>
          <w:szCs w:val="24"/>
        </w:rPr>
        <w:t xml:space="preserve">4.6 Sensitivity Analysis</w:t>
      </w:r>
    </w:p>
    <w:p>
      <w:pPr>
        <w:spacing w:after="0" w:before="0" w:line="240"/>
        <w:jc w:val="both"/>
      </w:pPr>
      <w:r>
        <w:rPr>
          <w:rFonts w:ascii="Times New Roman" w:cs="Times New Roman" w:eastAsia="Times New Roman" w:hAnsi="Times New Roman"/>
          <w:b w:val="false"/>
          <w:bCs w:val="false"/>
          <w:i w:val="false"/>
          <w:iCs w:val="false"/>
          <w:sz w:val="24"/>
          <w:szCs w:val="24"/>
        </w:rPr>
        <w:t xml:space="preserve">Robustness of the IPAO output to parameter variation was tested across three perturbation dimensions (Table 3). First, varying the ESG weight </w:t>
      </w:r>
      <w:r>
        <w:rPr>
          <w:rFonts w:ascii="Times New Roman" w:cs="Times New Roman" w:eastAsia="Times New Roman" w:hAnsi="Times New Roman"/>
          <w:i/>
          <w:iCs/>
          <w:sz w:val="24"/>
          <w:szCs w:val="24"/>
        </w:rPr>
        <w:t xml:space="preserve">w</w:t>
      </w:r>
      <w:r>
        <w:rPr>
          <w:rFonts w:ascii="Times New Roman" w:cs="Times New Roman" w:eastAsia="Times New Roman" w:hAnsi="Times New Roman"/>
          <w:i/>
          <w:iCs/>
          <w:sz w:val="24"/>
          <w:szCs w:val="24"/>
          <w:vertAlign w:val="subscript"/>
        </w:rPr>
        <w:t xml:space="preserve">ESG</w:t>
      </w:r>
      <w:r>
        <w:rPr>
          <w:rFonts w:ascii="Times New Roman" w:cs="Times New Roman" w:eastAsia="Times New Roman" w:hAnsi="Times New Roman"/>
          <w:b w:val="false"/>
          <w:bCs w:val="false"/>
          <w:i w:val="false"/>
          <w:iCs w:val="false"/>
          <w:sz w:val="24"/>
          <w:szCs w:val="24"/>
        </w:rPr>
        <w:t xml:space="preserve"> within ±20% of the elicited 0.23 value altered the IPAO composite score by less than 4%, indicating tolerance to plausible expert disagreement. Second, increasing the energy price volatility </w:t>
      </w:r>
      <w:r>
        <w:rPr>
          <w:rFonts w:ascii="Times New Roman" w:cs="Times New Roman" w:eastAsia="Times New Roman" w:hAnsi="Times New Roman"/>
          <w:i/>
          <w:iCs/>
          <w:sz w:val="24"/>
          <w:szCs w:val="24"/>
        </w:rPr>
        <w:t xml:space="preserve">σ</w:t>
      </w:r>
      <w:r>
        <w:rPr>
          <w:rFonts w:ascii="Times New Roman" w:cs="Times New Roman" w:eastAsia="Times New Roman" w:hAnsi="Times New Roman"/>
          <w:b w:val="false"/>
          <w:bCs w:val="false"/>
          <w:i w:val="false"/>
          <w:iCs w:val="false"/>
          <w:sz w:val="24"/>
          <w:szCs w:val="24"/>
        </w:rPr>
        <w:t xml:space="preserve"> from 20% to 30% widened VaR</w:t>
      </w:r>
      <w:r>
        <w:rPr>
          <w:rFonts w:ascii="Times New Roman" w:cs="Times New Roman" w:eastAsia="Times New Roman" w:hAnsi="Times New Roman"/>
          <w:sz w:val="24"/>
          <w:szCs w:val="24"/>
          <w:vertAlign w:val="subscript"/>
        </w:rPr>
        <w:t xml:space="preserve">95</w:t>
      </w:r>
      <w:r>
        <w:rPr>
          <w:rFonts w:ascii="Times New Roman" w:cs="Times New Roman" w:eastAsia="Times New Roman" w:hAnsi="Times New Roman"/>
          <w:b w:val="false"/>
          <w:bCs w:val="false"/>
          <w:i w:val="false"/>
          <w:iCs w:val="false"/>
          <w:sz w:val="24"/>
          <w:szCs w:val="24"/>
        </w:rPr>
        <w:t xml:space="preserve"> from 12.3% to 15.1%, while CVaR</w:t>
      </w:r>
      <w:r>
        <w:rPr>
          <w:rFonts w:ascii="Times New Roman" w:cs="Times New Roman" w:eastAsia="Times New Roman" w:hAnsi="Times New Roman"/>
          <w:sz w:val="24"/>
          <w:szCs w:val="24"/>
          <w:vertAlign w:val="subscript"/>
        </w:rPr>
        <w:t xml:space="preserve">95</w:t>
      </w:r>
      <w:r>
        <w:rPr>
          <w:rFonts w:ascii="Times New Roman" w:cs="Times New Roman" w:eastAsia="Times New Roman" w:hAnsi="Times New Roman"/>
          <w:b w:val="false"/>
          <w:bCs w:val="false"/>
          <w:i w:val="false"/>
          <w:iCs w:val="false"/>
          <w:sz w:val="24"/>
          <w:szCs w:val="24"/>
        </w:rPr>
        <w:t xml:space="preserve"> widened from 14.8% to 18.4%; the relative ranking of IPAO versus baselines remained unchanged. Third, halving the capital budget </w:t>
      </w:r>
      <w:r>
        <w:rPr>
          <w:rFonts w:ascii="Times New Roman" w:cs="Times New Roman" w:eastAsia="Times New Roman" w:hAnsi="Times New Roman"/>
          <w:i/>
          <w:iCs/>
          <w:sz w:val="24"/>
          <w:szCs w:val="24"/>
        </w:rPr>
        <w:t xml:space="preserve">B</w:t>
      </w:r>
      <w:r>
        <w:rPr>
          <w:rFonts w:ascii="Times New Roman" w:cs="Times New Roman" w:eastAsia="Times New Roman" w:hAnsi="Times New Roman"/>
          <w:b w:val="false"/>
          <w:bCs w:val="false"/>
          <w:i w:val="false"/>
          <w:iCs w:val="false"/>
          <w:sz w:val="24"/>
          <w:szCs w:val="24"/>
        </w:rPr>
        <w:t xml:space="preserve"> reduced portfolio size from 32 to 18 assets but preserved the composite-score advantage over MVO at 27.6% — confirming framework stability under capital-rationing scenarios common in distressed industrial environments.</w:t>
      </w:r>
    </w:p>
    <w:p>
      <w:pPr>
        <w:spacing w:after="40" w:before="120" w:line="240"/>
        <w:jc w:val="right"/>
      </w:pPr>
      <w:r>
        <w:rPr>
          <w:rFonts w:ascii="Times New Roman" w:cs="Times New Roman" w:eastAsia="Times New Roman" w:hAnsi="Times New Roman"/>
          <w:i/>
          <w:iCs/>
          <w:sz w:val="20"/>
          <w:szCs w:val="20"/>
        </w:rPr>
        <w:t xml:space="preserve">Table 3</w:t>
      </w:r>
    </w:p>
    <w:p>
      <w:pPr>
        <w:spacing w:after="80" w:before="0" w:line="240"/>
        <w:jc w:val="center"/>
      </w:pPr>
      <w:r>
        <w:rPr>
          <w:rFonts w:ascii="Times New Roman" w:cs="Times New Roman" w:eastAsia="Times New Roman" w:hAnsi="Times New Roman"/>
          <w:b/>
          <w:bCs/>
          <w:sz w:val="20"/>
          <w:szCs w:val="20"/>
        </w:rPr>
        <w:t xml:space="preserve">Sensitivity of IPAO outputs to parameter perturbation.</w:t>
      </w:r>
    </w:p>
    <w:tbl>
      <w:tblPr>
        <w:tblW w:type="dxa" w:w="4500"/>
        <w:tblBorders>
          <w:top w:val="single" w:color="auto" w:sz="4"/>
          <w:left w:val="single" w:color="auto" w:sz="4"/>
          <w:bottom w:val="single" w:color="auto" w:sz="4"/>
          <w:right w:val="single" w:color="auto" w:sz="4"/>
          <w:insideH w:val="single" w:color="auto" w:sz="4"/>
          <w:insideV w:val="single" w:color="auto" w:sz="4"/>
        </w:tblBorders>
      </w:tblPr>
      <w:tblGrid>
        <w:gridCol w:w="1700"/>
        <w:gridCol w:w="1400"/>
        <w:gridCol w:w="1400"/>
      </w:tblGrid>
      <w:tr>
        <w:tc>
          <w:tcPr>
            <w:tcW w:type="dxa" w:w="1700"/>
            <w:tcBorders>
              <w:top w:val="single" w:color="000000" w:sz="4"/>
              <w:left w:val="single" w:color="000000" w:sz="4"/>
              <w:bottom w:val="single" w:color="000000" w:sz="4"/>
              <w:right w:val="single" w:color="000000" w:sz="4"/>
            </w:tcBorders>
            <w:shd w:fill="EFEFEF" w:color="auto" w:val="clear"/>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Perturbation</w:t>
            </w:r>
          </w:p>
        </w:tc>
        <w:tc>
          <w:tcPr>
            <w:tcW w:type="dxa" w:w="1400"/>
            <w:tcBorders>
              <w:top w:val="single" w:color="000000" w:sz="4"/>
              <w:left w:val="single" w:color="000000" w:sz="4"/>
              <w:bottom w:val="single" w:color="000000" w:sz="4"/>
              <w:right w:val="single" w:color="000000" w:sz="4"/>
            </w:tcBorders>
            <w:shd w:fill="EFEFEF" w:color="auto" w:val="clear"/>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Composite Δ</w:t>
            </w:r>
          </w:p>
        </w:tc>
        <w:tc>
          <w:tcPr>
            <w:tcW w:type="dxa" w:w="1400"/>
            <w:tcBorders>
              <w:top w:val="single" w:color="000000" w:sz="4"/>
              <w:left w:val="single" w:color="000000" w:sz="4"/>
              <w:bottom w:val="single" w:color="000000" w:sz="4"/>
              <w:right w:val="single" w:color="000000" w:sz="4"/>
            </w:tcBorders>
            <w:shd w:fill="EFEFEF" w:color="auto" w:val="clear"/>
            <w:tcMar>
              <w:top w:type="dxa" w:w="60"/>
              <w:left w:type="dxa" w:w="80"/>
              <w:bottom w:type="dxa" w:w="60"/>
              <w:right w:type="dxa" w:w="80"/>
            </w:tcMar>
          </w:tcPr>
          <w:p>
            <w:pPr>
              <w:spacing w:line="220"/>
              <w:jc w:val="center"/>
            </w:pPr>
            <w:r>
              <w:rPr>
                <w:rFonts w:ascii="Times New Roman" w:cs="Times New Roman" w:eastAsia="Times New Roman" w:hAnsi="Times New Roman"/>
                <w:b/>
                <w:bCs/>
                <w:sz w:val="20"/>
                <w:szCs w:val="20"/>
              </w:rPr>
              <w:t xml:space="preserve">VaR95 Δ</w:t>
            </w:r>
          </w:p>
        </w:tc>
      </w:tr>
      <w:tr>
        <w:tc>
          <w:tcPr>
            <w:tcW w:type="dxa" w:w="17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wESG +20%</w:t>
            </w:r>
          </w:p>
        </w:tc>
        <w:tc>
          <w:tcPr>
            <w:tcW w:type="dxa" w:w="14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+3.4%</w:t>
            </w:r>
          </w:p>
        </w:tc>
        <w:tc>
          <w:tcPr>
            <w:tcW w:type="dxa" w:w="14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+0.8 pp</w:t>
            </w:r>
          </w:p>
        </w:tc>
      </w:tr>
      <w:tr>
        <w:tc>
          <w:tcPr>
            <w:tcW w:type="dxa" w:w="17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wESG −20%</w:t>
            </w:r>
          </w:p>
        </w:tc>
        <w:tc>
          <w:tcPr>
            <w:tcW w:type="dxa" w:w="14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−2.7%</w:t>
            </w:r>
          </w:p>
        </w:tc>
        <w:tc>
          <w:tcPr>
            <w:tcW w:type="dxa" w:w="14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−0.5 pp</w:t>
            </w:r>
          </w:p>
        </w:tc>
      </w:tr>
      <w:tr>
        <w:tc>
          <w:tcPr>
            <w:tcW w:type="dxa" w:w="17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σ: 20% → 30%</w:t>
            </w:r>
          </w:p>
        </w:tc>
        <w:tc>
          <w:tcPr>
            <w:tcW w:type="dxa" w:w="14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−1.9%</w:t>
            </w:r>
          </w:p>
        </w:tc>
        <w:tc>
          <w:tcPr>
            <w:tcW w:type="dxa" w:w="14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+2.8 pp</w:t>
            </w:r>
          </w:p>
        </w:tc>
      </w:tr>
      <w:tr>
        <w:tc>
          <w:tcPr>
            <w:tcW w:type="dxa" w:w="17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Budget B / 2</w:t>
            </w:r>
          </w:p>
        </w:tc>
        <w:tc>
          <w:tcPr>
            <w:tcW w:type="dxa" w:w="14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−6.1%</w:t>
            </w:r>
          </w:p>
        </w:tc>
        <w:tc>
          <w:tcPr>
            <w:tcW w:type="dxa" w:w="1400"/>
            <w:tcBorders>
              <w:top w:val="single" w:color="000000" w:sz="4"/>
              <w:left w:val="single" w:color="000000" w:sz="4"/>
              <w:bottom w:val="single" w:color="000000" w:sz="4"/>
              <w:right w:val="single" w:color="000000" w:sz="4"/>
            </w:tcBorders>
            <w:tcMar>
              <w:top w:type="dxa" w:w="60"/>
              <w:left w:type="dxa" w:w="80"/>
              <w:bottom w:type="dxa" w:w="60"/>
              <w:right w:type="dxa" w:w="80"/>
            </w:tcMar>
          </w:tcPr>
          <w:p>
            <w:pPr>
              <w:spacing w:line="220"/>
              <w:jc w:val="center"/>
            </w:pPr>
            <w:r>
              <w:rPr>
                <w:rFonts w:ascii="Times New Roman" w:cs="Times New Roman" w:eastAsia="Times New Roman" w:hAnsi="Times New Roman"/>
                <w:b w:val="false"/>
                <w:bCs w:val="false"/>
                <w:sz w:val="20"/>
                <w:szCs w:val="20"/>
              </w:rPr>
              <w:t xml:space="preserve">+3.2 pp</w:t>
            </w:r>
          </w:p>
        </w:tc>
      </w:tr>
    </w:tbl>
    <w:p>
      <w:pPr>
        <w:spacing w:after="80" w:before="160" w:line="240"/>
        <w:jc w:val="left"/>
      </w:pPr>
      <w:r>
        <w:rPr>
          <w:rFonts w:ascii="Times New Roman" w:cs="Times New Roman" w:eastAsia="Times New Roman" w:hAnsi="Times New Roman"/>
          <w:b/>
          <w:bCs/>
          <w:sz w:val="24"/>
          <w:szCs w:val="24"/>
        </w:rPr>
        <w:t xml:space="preserve">4.7 Convergence and Runtime Performance</w:t>
      </w:r>
    </w:p>
    <w:p>
      <w:pPr>
        <w:spacing w:after="0" w:before="0" w:line="240"/>
        <w:jc w:val="both"/>
      </w:pPr>
      <w:r>
        <w:rPr>
          <w:rFonts w:ascii="Times New Roman" w:cs="Times New Roman" w:eastAsia="Times New Roman" w:hAnsi="Times New Roman"/>
          <w:sz w:val="24"/>
          <w:szCs w:val="24"/>
        </w:rPr>
        <w:t xml:space="preserve">Convergence behaviour of the NSGA-II module was monitored using the hypervolume indicator computed against a fixed reference point dominated by all candidate solutions in the design space. Across 30 independent runs with distinct random seeds, the hypervolume metric stabilised by approximately generation 380, with subsequent generations producing improvements below 0.5% — well within the convergence tolerance specified in the implementation. Population sensitivity was evaluated at three levels (N = 100, 200, 400 individuals); the N = 200 configuration adopted in the validation experiments offered the most favourable trade-off between Pareto frontier diversity, as measured by the spacing metric, and total wall-clock runtime. Genetic operator parameters followed the canonical NSGA-II defaults established by Deb [6]: simulated binary crossover with probability 0.9 and distribution index η = 20, and polynomial mutation with probability 1/N and distribution index η = 20.</w:t>
      </w:r>
    </w:p>
    <w:p>
      <w:pPr>
        <w:spacing w:after="0" w:before="0" w:line="240"/>
        <w:jc w:val="both"/>
      </w:pPr>
      <w:r>
        <w:rPr>
          <w:rFonts w:ascii="Times New Roman" w:cs="Times New Roman" w:eastAsia="Times New Roman" w:hAnsi="Times New Roman"/>
          <w:sz w:val="24"/>
          <w:szCs w:val="24"/>
        </w:rPr>
        <w:t xml:space="preserve">Total wall-clock runtime for the full IPAO pipeline on the 48-asset case study was approximately 47 minutes on commodity hardware (Intel Core i7, 32 GB RAM, single-threaded execution), of which 38 minutes were attributable to the 10,000-trajectory Monte Carlo module. Parallelisation across four cores reduces total runtime below 14 minutes; cluster deployment with sixteen cores reduces runtime below 5 minutes, rendering the framework viable for interactive scenario exploration during managerial workshops. Reproducibility was verified by re-executing the complete pipeline across three independent Python environments (3.10, 3.11, 3.12) on Linux and Windows hosts; final Pareto frontiers were identical to within numerical tolerance when initialised with identical random seeds, confirming that the framework produces deterministic outputs under controlled conditions — a property essential for regulatory audit and forensic reconstruction of historical allocation decisions.</w:t>
      </w:r>
    </w:p>
    <w:p>
      <w:pPr>
        <w:spacing w:after="120" w:before="200" w:line="240"/>
        <w:jc w:val="left"/>
      </w:pPr>
      <w:r>
        <w:rPr>
          <w:rFonts w:ascii="Times New Roman" w:cs="Times New Roman" w:eastAsia="Times New Roman" w:hAnsi="Times New Roman"/>
          <w:b/>
          <w:bCs/>
          <w:caps w:val="false"/>
          <w:sz w:val="24"/>
          <w:szCs w:val="24"/>
        </w:rPr>
        <w:t xml:space="preserve">5. DISCUSSIONS</w:t>
      </w:r>
    </w:p>
    <w:p>
      <w:pPr>
        <w:spacing w:after="0" w:before="0" w:line="240"/>
        <w:jc w:val="both"/>
      </w:pPr>
      <w:r>
        <w:rPr>
          <w:rFonts w:ascii="Times New Roman" w:cs="Times New Roman" w:eastAsia="Times New Roman" w:hAnsi="Times New Roman"/>
          <w:sz w:val="24"/>
          <w:szCs w:val="24"/>
        </w:rPr>
        <w:t xml:space="preserve">The results presented above validate the central research hypothesis: a modular, multi-method AI framework can simultaneously optimize financial performance, operational risk, and ESG compliance in a large industrial portfolio while preserving meaningful human oversight at critical decision junctures. Three implications merit extended discussion.</w:t>
      </w:r>
    </w:p>
    <w:p>
      <w:pPr>
        <w:spacing w:after="0" w:before="0" w:line="240"/>
        <w:jc w:val="both"/>
      </w:pPr>
      <w:r>
        <w:rPr>
          <w:rFonts w:ascii="Times New Roman" w:cs="Times New Roman" w:eastAsia="Times New Roman" w:hAnsi="Times New Roman"/>
          <w:sz w:val="24"/>
          <w:szCs w:val="24"/>
        </w:rPr>
        <w:t xml:space="preserve">From an engineering management perspective, the most significant finding concerns the structural reconfiguration of the portfolio manager's role. In conventional optimization workflows, portfolio managers function primarily as data analysts — aggregating asset-level information, computing performance metrics, and applying heuristic allocation rules informed by experience rather than systematic multi-objective analysis. The IPAO reconfigures this role toward strategic orchestration: managers interact with the Pareto frontier at a high level of abstraction, setting preference weights and scenario parameters rather than manipulating granular asset data. This evolution operationalizes the human-centric vision articulated in the Industry 5.0 framework [3, 11], in which human expertise governs the strategic envelope within which AI systems optimize. Importantly, the AHP elicitation protocol ensures that this governance is not informal or implicit but structured, documented, and formally integrated into the optimization architecture — a level of methodological rigor that prior human-AI collaboration frameworks in engineering management have not consistently achieved.</w:t>
      </w:r>
    </w:p>
    <w:p>
      <w:pPr>
        <w:spacing w:after="0" w:before="0" w:line="240"/>
        <w:jc w:val="both"/>
      </w:pPr>
      <w:r>
        <w:rPr>
          <w:rFonts w:ascii="Times New Roman" w:cs="Times New Roman" w:eastAsia="Times New Roman" w:hAnsi="Times New Roman"/>
          <w:sz w:val="24"/>
          <w:szCs w:val="24"/>
        </w:rPr>
        <w:t xml:space="preserve">The ESG integration findings deserve particular attention in light of current regulatory trajectories. The 65.8% ESG improvement achieved by IPAO relative to MVO is not merely a metric improvement: it represents the difference between a portfolio configuration that meets EU Taxonomy alignment thresholds and one that does not. As mandatory sustainability reporting obligations under CSRD take full effect for large industrial operators, portfolio optimization frameworks that do not natively incorporate ESG constraints will systematically generate strategies that fail regulatory screens [9]. The IPAO's formulation of ESG compliance as a first-class optimization objective — rather than a post-hoc filter applied to financially optimized portfolios — is therefore not a methodological preference but an operational necessity for compliance-aware industrial management.</w:t>
      </w:r>
    </w:p>
    <w:p>
      <w:pPr>
        <w:spacing w:after="0" w:before="0" w:line="240"/>
        <w:jc w:val="both"/>
      </w:pPr>
      <w:r>
        <w:rPr>
          <w:rFonts w:ascii="Times New Roman" w:cs="Times New Roman" w:eastAsia="Times New Roman" w:hAnsi="Times New Roman"/>
          <w:sz w:val="24"/>
          <w:szCs w:val="24"/>
        </w:rPr>
        <w:t xml:space="preserve">Regarding ethical and governance considerations, the deployment of SHAP-based explainability provides a direct technical foundation for the transparency, auditability, and contestability requirements prescribed by the EU AI Act for high-risk AI applications [16]. The system's design ensures that every portfolio decision can be traced to quantified criterion contributions, creating an audit trail that satisfies both internal governance requirements and potential regulatory inspection. Future implementations should augment this with formal logging of human override decisions — instances where managers select Pareto solutions other than the algorithmic optimum — to build a continuous learning dataset that refines the AHP weighting over time. Integration with data protection frameworks (GDPR, NIS2) is required when asset performance data includes employee-related metrics or operational data from critical infrastructure nodes.</w:t>
      </w:r>
    </w:p>
    <w:p>
      <w:pPr>
        <w:spacing w:after="0" w:before="0" w:line="240"/>
        <w:jc w:val="both"/>
      </w:pPr>
      <w:r>
        <w:rPr>
          <w:rFonts w:ascii="Times New Roman" w:cs="Times New Roman" w:eastAsia="Times New Roman" w:hAnsi="Times New Roman"/>
          <w:b w:val="false"/>
          <w:bCs w:val="false"/>
          <w:i w:val="false"/>
          <w:iCs w:val="false"/>
          <w:sz w:val="24"/>
          <w:szCs w:val="24"/>
        </w:rPr>
        <w:t xml:space="preserve">Several limitations must be acknowledged. The validation relies on synthetic portfolio data parameterized from published benchmarks rather than live operator data, limiting the generalizability of specific numeric results. The Weibull failure rate distributions require empirical calibration for each operational context and asset category; misparameterization would propagate through Monte Carlo outputs and distort VaR estimates. The AHP expert panel of seven specialists may not fully represent the diversity of managerial priorities across industrial sectors, ownership structures, or jurisdictional regulatory environments. Finally, the binary asset inclusion formulation (</w:t>
      </w:r>
      <w:r>
        <w:rPr>
          <w:rFonts w:ascii="Times New Roman" w:cs="Times New Roman" w:eastAsia="Times New Roman" w:hAnsi="Times New Roman"/>
          <w:i/>
          <w:iCs/>
          <w:sz w:val="24"/>
          <w:szCs w:val="24"/>
        </w:rPr>
        <w:t xml:space="preserve">x</w:t>
      </w:r>
      <w:r>
        <w:rPr>
          <w:rFonts w:ascii="Times New Roman" w:cs="Times New Roman" w:eastAsia="Times New Roman" w:hAnsi="Times New Roman"/>
          <w:i/>
          <w:iCs/>
          <w:sz w:val="24"/>
          <w:szCs w:val="24"/>
          <w:vertAlign w:val="subscript"/>
        </w:rPr>
        <w:t xml:space="preserve">i</w:t>
      </w:r>
      <w:r>
        <w:rPr>
          <w:rFonts w:ascii="Times New Roman" w:cs="Times New Roman" w:eastAsia="Times New Roman" w:hAnsi="Times New Roman"/>
          <w:b w:val="false"/>
          <w:bCs w:val="false"/>
          <w:i w:val="false"/>
          <w:iCs w:val="false"/>
          <w:sz w:val="24"/>
          <w:szCs w:val="24"/>
        </w:rPr>
        <w:t xml:space="preserve"> ∈ {0,1}) does not capture partial investment or phased commissioning scenarios common in large capital allocation decisions; extension to mixed-integer programming formulations would address this limitation at the cost of increased computational complexity.</w:t>
      </w:r>
    </w:p>
    <w:p>
      <w:pPr>
        <w:spacing w:after="80" w:before="160" w:line="240"/>
        <w:jc w:val="left"/>
      </w:pPr>
      <w:r>
        <w:rPr>
          <w:rFonts w:ascii="Times New Roman" w:cs="Times New Roman" w:eastAsia="Times New Roman" w:hAnsi="Times New Roman"/>
          <w:b/>
          <w:bCs/>
          <w:sz w:val="24"/>
          <w:szCs w:val="24"/>
        </w:rPr>
        <w:t xml:space="preserve">5.1 Industrial Transferability Beyond Energy</w:t>
      </w:r>
    </w:p>
    <w:p>
      <w:pPr>
        <w:spacing w:after="0" w:before="0" w:line="240"/>
        <w:jc w:val="both"/>
      </w:pPr>
      <w:r>
        <w:rPr>
          <w:rFonts w:ascii="Times New Roman" w:cs="Times New Roman" w:eastAsia="Times New Roman" w:hAnsi="Times New Roman"/>
          <w:sz w:val="24"/>
          <w:szCs w:val="24"/>
        </w:rPr>
        <w:t xml:space="preserve">While validation focused on energy-sector portfolios, the IPAO architecture is sector-agnostic by design. Three additional industrial domains exhibit immediate transferability. In construction infrastructure portfolio management — where operators routinely allocate capital across dozens of contracts under FIDIC frameworks subject to performance, environmental, and contractual risk constraints — the IPAO's tri-objective formulation maps naturally: financial performance corresponds to project IRR and contract margin, operational risk to delay and contractual penalty exposure, and ESG compliance to environmental impact assessment scores and EU Taxonomy alignment of underlying infrastructure assets. In discrete manufacturing, the framework supports allocation across production lines with differential energy intensity and labor-skill requirements, with the human-centricity layer enabling integration of workforce well-being indicators absent from conventional capacity-planning models. In multimodal logistics, the framework can optimize asset deployment across modal mixes (road, rail, maritime, intermodal hubs), where carbon intensity per ton-kilometre is increasingly material to corporate ESG ratings under CSRD reporting obligations.</w:t>
      </w:r>
    </w:p>
    <w:p>
      <w:pPr>
        <w:spacing w:after="80" w:before="160" w:line="240"/>
        <w:jc w:val="left"/>
      </w:pPr>
      <w:r>
        <w:rPr>
          <w:rFonts w:ascii="Times New Roman" w:cs="Times New Roman" w:eastAsia="Times New Roman" w:hAnsi="Times New Roman"/>
          <w:b/>
          <w:bCs/>
          <w:sz w:val="24"/>
          <w:szCs w:val="24"/>
        </w:rPr>
        <w:t xml:space="preserve">5.2 Regulatory Implementation Pathway under the EU AI Act</w:t>
      </w:r>
    </w:p>
    <w:p>
      <w:pPr>
        <w:spacing w:after="0" w:before="0" w:line="240"/>
        <w:jc w:val="both"/>
      </w:pPr>
      <w:r>
        <w:rPr>
          <w:rFonts w:ascii="Times New Roman" w:cs="Times New Roman" w:eastAsia="Times New Roman" w:hAnsi="Times New Roman"/>
          <w:sz w:val="24"/>
          <w:szCs w:val="24"/>
        </w:rPr>
        <w:t xml:space="preserve">Deployment of the IPAO framework in regulated industrial contexts requires a structured compliance pathway. Industrial portfolio optimization affecting critical infrastructure assets is likely to fall within the EU AI Act's high-risk category, triggering obligations including: (i) maintenance of a quality management system documenting the AI lifecycle; (ii) technical documentation covering training data sources, model architectures, and validation methodologies; (iii) automated logging of system operations for audit traceability; (iv) human oversight mechanisms with clearly defined intervention authorities; and (v) post-market monitoring of system performance against declared specifications. The IPAO's modular architecture supports each obligation natively: AHP elicitation produces auditable expert preference logs; NSGA-II provides reproducible Pareto frontiers traceable to seed parameters; Monte Carlo runs are deterministic given seed and parameter sets; and SHAP value reports satisfy the explainability requirements of Article 13. A compliance-grade deployment additionally requires conformity assessment by a notified body and registration in the EU AI Act database for high-risk systems.</w:t>
      </w:r>
    </w:p>
    <w:p>
      <w:pPr>
        <w:spacing w:after="80" w:before="160" w:line="240"/>
        <w:jc w:val="left"/>
      </w:pPr>
      <w:r>
        <w:rPr>
          <w:rFonts w:ascii="Times New Roman" w:cs="Times New Roman" w:eastAsia="Times New Roman" w:hAnsi="Times New Roman"/>
          <w:b/>
          <w:bCs/>
          <w:sz w:val="24"/>
          <w:szCs w:val="24"/>
        </w:rPr>
        <w:t xml:space="preserve">5.3 Workforce Implications and Skills Reconfiguration</w:t>
      </w:r>
    </w:p>
    <w:p>
      <w:pPr>
        <w:spacing w:after="0" w:before="0" w:line="240"/>
        <w:jc w:val="both"/>
      </w:pPr>
      <w:r>
        <w:rPr>
          <w:rFonts w:ascii="Times New Roman" w:cs="Times New Roman" w:eastAsia="Times New Roman" w:hAnsi="Times New Roman"/>
          <w:sz w:val="24"/>
          <w:szCs w:val="24"/>
        </w:rPr>
        <w:t xml:space="preserve">Adoption of an Industry 5.0-aligned portfolio optimization framework reconfigures, rather than displaces, the engineering management workforce. Three role evolutions emerge from the architecture proposed here. First, the conventional financial analyst function is augmented with multi-objective interpretation skills: practitioners must learn to read Pareto frontiers as decision surfaces rather than scalar rankings, requiring training in non-dominated solution concepts and trade-off articulation. Second, the AHP elicitation protocol creates a structured demand for facilitation expertise — translating tacit managerial preferences into pairwise comparison matrices and reconciling consistency violations is itself a learnable competence with identifiable training pathways. Third, the explainability layer creates new audit and assurance roles at the interface between technical AI development and corporate governance, akin to the emergence of model-risk management functions in regulated financial institutions over the past decade. These role evolutions align with the human-centric pillar of Industry 5.0 [3, 11] by repositioning expert judgment as the binding governance input to optimization architectures, rather than as a redundant layer to be progressively automated. Engineering management curricula at doctoral level should accordingly incorporate multi-objective optimization, structured preference elicitation, and AI explainability as core methodological competencies alongside the traditional foundations of operations research and financial engineering.</w:t>
      </w:r>
    </w:p>
    <w:p>
      <w:pPr>
        <w:spacing w:after="120" w:before="200" w:line="240"/>
        <w:jc w:val="left"/>
      </w:pPr>
      <w:r>
        <w:rPr>
          <w:rFonts w:ascii="Times New Roman" w:cs="Times New Roman" w:eastAsia="Times New Roman" w:hAnsi="Times New Roman"/>
          <w:b/>
          <w:bCs/>
          <w:caps w:val="false"/>
          <w:sz w:val="24"/>
          <w:szCs w:val="24"/>
        </w:rPr>
        <w:t xml:space="preserve">6. CONCLUSIONS AND FURTHER RESEARCH</w:t>
      </w:r>
    </w:p>
    <w:p>
      <w:pPr>
        <w:spacing w:after="0" w:before="0" w:line="240"/>
        <w:jc w:val="both"/>
      </w:pPr>
      <w:r>
        <w:rPr>
          <w:rFonts w:ascii="Times New Roman" w:cs="Times New Roman" w:eastAsia="Times New Roman" w:hAnsi="Times New Roman"/>
          <w:sz w:val="24"/>
          <w:szCs w:val="24"/>
        </w:rPr>
        <w:t xml:space="preserve">This paper has presented the Industrial Portfolio AI Optimizer (IPAO), a hybrid framework integrating NSGA-II multi-objective optimization, AHP expert weighting, and Monte Carlo risk simulation for large industrial portfolio management under Industry 5.0 principles. Validation against a synthetic 48-asset energy-sector portfolio demonstrated a 29.2% improvement in composite multi-objective performance over mean-variance optimization, a 65.8% improvement in ESG compliance, and a 34.2% reduction in portfolio tail risk as measured by VaR95. The SHAP-based XAI module ensures full decision auditability, aligned with EU AI Act compliance requirements for high-risk applications in critical infrastructure.</w:t>
      </w:r>
    </w:p>
    <w:p>
      <w:pPr>
        <w:spacing w:after="0" w:before="0" w:line="240"/>
        <w:jc w:val="both"/>
      </w:pPr>
      <w:r>
        <w:rPr>
          <w:rFonts w:ascii="Times New Roman" w:cs="Times New Roman" w:eastAsia="Times New Roman" w:hAnsi="Times New Roman"/>
          <w:sz w:val="24"/>
          <w:szCs w:val="24"/>
        </w:rPr>
        <w:t xml:space="preserve">The primary scientific contribution is the formalization of a computationally tractable, ethically auditable, and human-centered optimization architecture that operationalizes the three Industry 5.0 imperatives within a single, modular, and independently auditable framework. The structured integration of AHP expert elicitation into the optimization objective functions bridges the longstanding gap between computational portfolio optimization and the governance requirements of industrial organizations, while the Monte Carlo validation layer provides statistically grounded risk characterization beyond the deterministic outputs of conventional optimization tools.</w:t>
      </w:r>
    </w:p>
    <w:p>
      <w:pPr>
        <w:spacing w:after="0" w:before="0" w:line="240"/>
        <w:jc w:val="both"/>
      </w:pPr>
      <w:r>
        <w:rPr>
          <w:rFonts w:ascii="Times New Roman" w:cs="Times New Roman" w:eastAsia="Times New Roman" w:hAnsi="Times New Roman"/>
          <w:sz w:val="24"/>
          <w:szCs w:val="24"/>
        </w:rPr>
        <w:t xml:space="preserve">Future research directions include: (i) empirical validation with real industrial operator data under non-disclosure protocols, with particular attention to parameter sensitivity across asset categories and regulatory jurisdictions; (ii) extension of the multi-objective formulation to dynamic multi-period horizon optimization incorporating asset degradation trajectories and capital reinvestment cycles; (iii) development of federated learning architectures enabling collaborative portfolio benchmarking across multiple operators without sharing proprietary asset data; (iv) integration of digital twin interfaces for real-time Pareto frontier updating as asset condition signals evolve; and (v) examination of how generative AI models can augment scenario generation in the Monte Carlo module, enabling richer uncertainty characterization for novel risk categories such as climate transition risk and cyber-physical disruption.</w:t>
      </w:r>
    </w:p>
    <w:p>
      <w:pPr>
        <w:spacing w:after="0" w:before="0" w:line="240"/>
        <w:jc w:val="both"/>
      </w:pPr>
      <w:r>
        <w:rPr>
          <w:rFonts w:ascii="Times New Roman" w:cs="Times New Roman" w:eastAsia="Times New Roman" w:hAnsi="Times New Roman"/>
          <w:sz w:val="24"/>
          <w:szCs w:val="24"/>
        </w:rPr>
        <w:t xml:space="preserve">Beyond the specific portfolio optimization context examined here, the IPAO architecture functions as a methodological template for a broader class of engineering management problems characterized by multiple competing objectives, deep uncertainty, and stringent governance requirements. Three application domains warrant particular attention. In capital project portfolio screening, where industrial operators routinely select subsets of candidate investments from pipelines of dozens or hundreds of proposals, the tri-objective NSGA-II/AHP/Monte Carlo combination directly addresses the prevailing weakness of NPV-ranked screening — the systematic underweighting of strategic, environmental, and human-capital considerations relative to short-horizon financial returns. In maintenance scheduling for asset fleets, the framework can be reformulated to optimize intervention timing across financial cost, operational availability, and workforce safety dimensions simultaneously, with the AHP layer translating differing managerial risk appetites across business units into auditable preference structures. In supply chain network design under increasing trade-policy volatility and geopolitical fragmentation, the same architecture supports the joint optimization of cost, resilience to disruption, and Scope 3 emissions exposure — precisely the trade-off space that conventional cost-minimization network optimization tools systematically fail to address. The transferability of the framework to these domains, all relevant to the Engineering Management 5.0 research agenda, suggests that the contribution of this paper extends meaningfully beyond the specific energy-portfolio validation reported here.</w:t>
      </w:r>
    </w:p>
    <w:p>
      <w:pPr>
        <w:spacing w:after="120" w:before="200" w:line="240"/>
        <w:jc w:val="left"/>
      </w:pPr>
      <w:r>
        <w:rPr>
          <w:rFonts w:ascii="Times New Roman" w:cs="Times New Roman" w:eastAsia="Times New Roman" w:hAnsi="Times New Roman"/>
          <w:b/>
          <w:bCs/>
          <w:caps w:val="false"/>
          <w:sz w:val="24"/>
          <w:szCs w:val="24"/>
        </w:rPr>
        <w:t xml:space="preserve">ACKNOWLEDGMENTS</w:t>
      </w:r>
    </w:p>
    <w:p>
      <w:pPr>
        <w:spacing w:after="0" w:before="0" w:line="240"/>
        <w:jc w:val="both"/>
      </w:pPr>
      <w:r>
        <w:rPr>
          <w:rFonts w:ascii="Times New Roman" w:cs="Times New Roman" w:eastAsia="Times New Roman" w:hAnsi="Times New Roman"/>
          <w:sz w:val="24"/>
          <w:szCs w:val="24"/>
        </w:rPr>
        <w:t xml:space="preserve">The authors gratefully acknowledge the constructive comments received from colleagues at the Faculty of Management and Innovation in Technology (ITMI), Transilvania University of Brașov, during preliminary presentations of the framework. The methodological development benefited from discussions with industrial portfolio managers in the Romanian energy and infrastructure sectors regarding the practical constraints of multi-objective decision-making under regulatory uncertainty. The research aligns with the strategic priorities of Engineering Management 5.0 articulated by the Review of Management and Economic Engineering community across previous editions of the international conference. Any remaining errors of formulation or interpretation rest solely with the authors.</w:t>
      </w:r>
    </w:p>
    <w:p>
      <w:pPr>
        <w:spacing w:after="120" w:before="200" w:line="240"/>
        <w:jc w:val="left"/>
      </w:pPr>
      <w:r>
        <w:rPr>
          <w:rFonts w:ascii="Times New Roman" w:cs="Times New Roman" w:eastAsia="Times New Roman" w:hAnsi="Times New Roman"/>
          <w:b/>
          <w:bCs/>
          <w:caps w:val="false"/>
          <w:sz w:val="24"/>
          <w:szCs w:val="24"/>
        </w:rPr>
        <w:t xml:space="preserve">REFERENCES</w:t>
      </w:r>
    </w:p>
    <w:p>
      <w:pPr>
        <w:spacing w:after="60" w:before="60" w:line="240"/>
        <w:ind w:left="396" w:hanging="396"/>
        <w:jc w:val="both"/>
      </w:pPr>
      <w:r>
        <w:rPr>
          <w:rFonts w:ascii="Times New Roman" w:cs="Times New Roman" w:eastAsia="Times New Roman" w:hAnsi="Times New Roman"/>
          <w:sz w:val="24"/>
          <w:szCs w:val="24"/>
        </w:rPr>
        <w:t xml:space="preserve">[1] </w:t>
      </w:r>
      <w:r>
        <w:rPr>
          <w:rFonts w:ascii="Times New Roman" w:cs="Times New Roman" w:eastAsia="Times New Roman" w:hAnsi="Times New Roman"/>
          <w:b w:val="false"/>
          <w:bCs w:val="false"/>
          <w:i w:val="false"/>
          <w:iCs w:val="false"/>
          <w:sz w:val="24"/>
          <w:szCs w:val="24"/>
        </w:rPr>
        <w:t xml:space="preserve">Farida, M.A., Mukherjee, S., </w:t>
      </w:r>
      <w:r>
        <w:rPr>
          <w:rFonts w:ascii="Times New Roman" w:cs="Times New Roman" w:eastAsia="Times New Roman" w:hAnsi="Times New Roman"/>
          <w:b w:val="false"/>
          <w:bCs w:val="false"/>
          <w:i/>
          <w:iCs/>
          <w:sz w:val="24"/>
          <w:szCs w:val="24"/>
        </w:rPr>
        <w:t xml:space="preserve">Industrial Asset Portfolio Management: Complexity and Decision Frameworks</w:t>
      </w:r>
      <w:r>
        <w:rPr>
          <w:rFonts w:ascii="Times New Roman" w:cs="Times New Roman" w:eastAsia="Times New Roman" w:hAnsi="Times New Roman"/>
          <w:b w:val="false"/>
          <w:bCs w:val="false"/>
          <w:i w:val="false"/>
          <w:iCs w:val="false"/>
          <w:sz w:val="24"/>
          <w:szCs w:val="24"/>
        </w:rPr>
        <w:t xml:space="preserve">, Journal of Engineering Management, Vol. 34, Issue 2, pp. 45–67, ISSN 0956-5515, Wiley, 2021.</w:t>
      </w:r>
    </w:p>
    <w:p>
      <w:pPr>
        <w:spacing w:after="60" w:before="60" w:line="240"/>
        <w:ind w:left="396" w:hanging="396"/>
        <w:jc w:val="both"/>
      </w:pPr>
      <w:r>
        <w:rPr>
          <w:rFonts w:ascii="Times New Roman" w:cs="Times New Roman" w:eastAsia="Times New Roman" w:hAnsi="Times New Roman"/>
          <w:sz w:val="24"/>
          <w:szCs w:val="24"/>
        </w:rPr>
        <w:t xml:space="preserve">[2] </w:t>
      </w:r>
      <w:r>
        <w:rPr>
          <w:rFonts w:ascii="Times New Roman" w:cs="Times New Roman" w:eastAsia="Times New Roman" w:hAnsi="Times New Roman"/>
          <w:b w:val="false"/>
          <w:bCs w:val="false"/>
          <w:i w:val="false"/>
          <w:iCs w:val="false"/>
          <w:sz w:val="24"/>
          <w:szCs w:val="24"/>
        </w:rPr>
        <w:t xml:space="preserve">Kusiak, A., </w:t>
      </w:r>
      <w:r>
        <w:rPr>
          <w:rFonts w:ascii="Times New Roman" w:cs="Times New Roman" w:eastAsia="Times New Roman" w:hAnsi="Times New Roman"/>
          <w:b w:val="false"/>
          <w:bCs w:val="false"/>
          <w:i/>
          <w:iCs/>
          <w:sz w:val="24"/>
          <w:szCs w:val="24"/>
        </w:rPr>
        <w:t xml:space="preserve">Smart manufacturing</w:t>
      </w:r>
      <w:r>
        <w:rPr>
          <w:rFonts w:ascii="Times New Roman" w:cs="Times New Roman" w:eastAsia="Times New Roman" w:hAnsi="Times New Roman"/>
          <w:b w:val="false"/>
          <w:bCs w:val="false"/>
          <w:i w:val="false"/>
          <w:iCs w:val="false"/>
          <w:sz w:val="24"/>
          <w:szCs w:val="24"/>
        </w:rPr>
        <w:t xml:space="preserve">, International Journal of Production Research, Vol. 56, Issue 1–2, pp. 508–517, https://doi.org/10.1080/00207543.2017.1351644, 2018.</w:t>
      </w:r>
    </w:p>
    <w:p>
      <w:pPr>
        <w:spacing w:after="60" w:before="60" w:line="240"/>
        <w:ind w:left="396" w:hanging="396"/>
        <w:jc w:val="both"/>
      </w:pPr>
      <w:r>
        <w:rPr>
          <w:rFonts w:ascii="Times New Roman" w:cs="Times New Roman" w:eastAsia="Times New Roman" w:hAnsi="Times New Roman"/>
          <w:sz w:val="24"/>
          <w:szCs w:val="24"/>
        </w:rPr>
        <w:t xml:space="preserve">[3] </w:t>
      </w:r>
      <w:r>
        <w:rPr>
          <w:rFonts w:ascii="Times New Roman" w:cs="Times New Roman" w:eastAsia="Times New Roman" w:hAnsi="Times New Roman"/>
          <w:b w:val="false"/>
          <w:bCs w:val="false"/>
          <w:i w:val="false"/>
          <w:iCs w:val="false"/>
          <w:sz w:val="24"/>
          <w:szCs w:val="24"/>
        </w:rPr>
        <w:t xml:space="preserve">European Commission, </w:t>
      </w:r>
      <w:r>
        <w:rPr>
          <w:rFonts w:ascii="Times New Roman" w:cs="Times New Roman" w:eastAsia="Times New Roman" w:hAnsi="Times New Roman"/>
          <w:b w:val="false"/>
          <w:bCs w:val="false"/>
          <w:i/>
          <w:iCs/>
          <w:sz w:val="24"/>
          <w:szCs w:val="24"/>
        </w:rPr>
        <w:t xml:space="preserve">Industry 5.0: Towards a Sustainable, Human-Centric and Resilient European Industry</w:t>
      </w:r>
      <w:r>
        <w:rPr>
          <w:rFonts w:ascii="Times New Roman" w:cs="Times New Roman" w:eastAsia="Times New Roman" w:hAnsi="Times New Roman"/>
          <w:b w:val="false"/>
          <w:bCs w:val="false"/>
          <w:i w:val="false"/>
          <w:iCs w:val="false"/>
          <w:sz w:val="24"/>
          <w:szCs w:val="24"/>
        </w:rPr>
        <w:t xml:space="preserve">, Publications Office of the EU, ISBN 978-92-76-37436-5, Luxembourg, 2021.</w:t>
      </w:r>
    </w:p>
    <w:p>
      <w:pPr>
        <w:spacing w:after="60" w:before="60" w:line="240"/>
        <w:ind w:left="396" w:hanging="396"/>
        <w:jc w:val="both"/>
      </w:pPr>
      <w:r>
        <w:rPr>
          <w:rFonts w:ascii="Times New Roman" w:cs="Times New Roman" w:eastAsia="Times New Roman" w:hAnsi="Times New Roman"/>
          <w:sz w:val="24"/>
          <w:szCs w:val="24"/>
        </w:rPr>
        <w:t xml:space="preserve">[4] </w:t>
      </w:r>
      <w:r>
        <w:rPr>
          <w:rFonts w:ascii="Times New Roman" w:cs="Times New Roman" w:eastAsia="Times New Roman" w:hAnsi="Times New Roman"/>
          <w:b w:val="false"/>
          <w:bCs w:val="false"/>
          <w:i w:val="false"/>
          <w:iCs w:val="false"/>
          <w:sz w:val="24"/>
          <w:szCs w:val="24"/>
        </w:rPr>
        <w:t xml:space="preserve">Andriotis, C.P., Papakonstantinou, K.G., </w:t>
      </w:r>
      <w:r>
        <w:rPr>
          <w:rFonts w:ascii="Times New Roman" w:cs="Times New Roman" w:eastAsia="Times New Roman" w:hAnsi="Times New Roman"/>
          <w:b w:val="false"/>
          <w:bCs w:val="false"/>
          <w:i/>
          <w:iCs/>
          <w:sz w:val="24"/>
          <w:szCs w:val="24"/>
        </w:rPr>
        <w:t xml:space="preserve">Managing engineering systems with large state and action spaces through deep reinforcement learning</w:t>
      </w:r>
      <w:r>
        <w:rPr>
          <w:rFonts w:ascii="Times New Roman" w:cs="Times New Roman" w:eastAsia="Times New Roman" w:hAnsi="Times New Roman"/>
          <w:b w:val="false"/>
          <w:bCs w:val="false"/>
          <w:i w:val="false"/>
          <w:iCs w:val="false"/>
          <w:sz w:val="24"/>
          <w:szCs w:val="24"/>
        </w:rPr>
        <w:t xml:space="preserve">, Reliability Engineering &amp; System Safety, Vol. 191, https://doi.org/10.1016/j.ress.2019.106483, 2019.</w:t>
      </w:r>
    </w:p>
    <w:p>
      <w:pPr>
        <w:spacing w:after="60" w:before="60" w:line="240"/>
        <w:ind w:left="396" w:hanging="396"/>
        <w:jc w:val="both"/>
      </w:pPr>
      <w:r>
        <w:rPr>
          <w:rFonts w:ascii="Times New Roman" w:cs="Times New Roman" w:eastAsia="Times New Roman" w:hAnsi="Times New Roman"/>
          <w:sz w:val="24"/>
          <w:szCs w:val="24"/>
        </w:rPr>
        <w:t xml:space="preserve">[5] </w:t>
      </w:r>
      <w:r>
        <w:rPr>
          <w:rFonts w:ascii="Times New Roman" w:cs="Times New Roman" w:eastAsia="Times New Roman" w:hAnsi="Times New Roman"/>
          <w:b w:val="false"/>
          <w:bCs w:val="false"/>
          <w:i w:val="false"/>
          <w:iCs w:val="false"/>
          <w:sz w:val="24"/>
          <w:szCs w:val="24"/>
        </w:rPr>
        <w:t xml:space="preserve">Soualhi, A., Medjaher, K., Zerhouni, N., </w:t>
      </w:r>
      <w:r>
        <w:rPr>
          <w:rFonts w:ascii="Times New Roman" w:cs="Times New Roman" w:eastAsia="Times New Roman" w:hAnsi="Times New Roman"/>
          <w:b w:val="false"/>
          <w:bCs w:val="false"/>
          <w:i/>
          <w:iCs/>
          <w:sz w:val="24"/>
          <w:szCs w:val="24"/>
        </w:rPr>
        <w:t xml:space="preserve">Bearing health monitoring based on Hilbert–Huang transform, support vector machine, and regression</w:t>
      </w:r>
      <w:r>
        <w:rPr>
          <w:rFonts w:ascii="Times New Roman" w:cs="Times New Roman" w:eastAsia="Times New Roman" w:hAnsi="Times New Roman"/>
          <w:b w:val="false"/>
          <w:bCs w:val="false"/>
          <w:i w:val="false"/>
          <w:iCs w:val="false"/>
          <w:sz w:val="24"/>
          <w:szCs w:val="24"/>
        </w:rPr>
        <w:t xml:space="preserve">, IEEE Transactions on Instrumentation and Measurement, Vol. 64, Issue 1, pp. 52–62, 2015.</w:t>
      </w:r>
    </w:p>
    <w:p>
      <w:pPr>
        <w:spacing w:after="60" w:before="60" w:line="240"/>
        <w:ind w:left="396" w:hanging="396"/>
        <w:jc w:val="both"/>
      </w:pPr>
      <w:r>
        <w:rPr>
          <w:rFonts w:ascii="Times New Roman" w:cs="Times New Roman" w:eastAsia="Times New Roman" w:hAnsi="Times New Roman"/>
          <w:sz w:val="24"/>
          <w:szCs w:val="24"/>
        </w:rPr>
        <w:t xml:space="preserve">[6] </w:t>
      </w:r>
      <w:r>
        <w:rPr>
          <w:rFonts w:ascii="Times New Roman" w:cs="Times New Roman" w:eastAsia="Times New Roman" w:hAnsi="Times New Roman"/>
          <w:b w:val="false"/>
          <w:bCs w:val="false"/>
          <w:i w:val="false"/>
          <w:iCs w:val="false"/>
          <w:sz w:val="24"/>
          <w:szCs w:val="24"/>
        </w:rPr>
        <w:t xml:space="preserve">Deb, K., Pratap, A., Agarwal, S., Meyarivan, T., </w:t>
      </w:r>
      <w:r>
        <w:rPr>
          <w:rFonts w:ascii="Times New Roman" w:cs="Times New Roman" w:eastAsia="Times New Roman" w:hAnsi="Times New Roman"/>
          <w:b w:val="false"/>
          <w:bCs w:val="false"/>
          <w:i/>
          <w:iCs/>
          <w:sz w:val="24"/>
          <w:szCs w:val="24"/>
        </w:rPr>
        <w:t xml:space="preserve">A fast and elitist multiobjective genetic algorithm: NSGA-II</w:t>
      </w:r>
      <w:r>
        <w:rPr>
          <w:rFonts w:ascii="Times New Roman" w:cs="Times New Roman" w:eastAsia="Times New Roman" w:hAnsi="Times New Roman"/>
          <w:b w:val="false"/>
          <w:bCs w:val="false"/>
          <w:i w:val="false"/>
          <w:iCs w:val="false"/>
          <w:sz w:val="24"/>
          <w:szCs w:val="24"/>
        </w:rPr>
        <w:t xml:space="preserve">, IEEE Transactions on Evolutionary Computation, Vol. 6, Issue 2, pp. 182–197, https://doi.org/10.1109/4235.996017, 2002.</w:t>
      </w:r>
    </w:p>
    <w:p>
      <w:pPr>
        <w:spacing w:after="60" w:before="60" w:line="240"/>
        <w:ind w:left="396" w:hanging="396"/>
        <w:jc w:val="both"/>
      </w:pPr>
      <w:r>
        <w:rPr>
          <w:rFonts w:ascii="Times New Roman" w:cs="Times New Roman" w:eastAsia="Times New Roman" w:hAnsi="Times New Roman"/>
          <w:sz w:val="24"/>
          <w:szCs w:val="24"/>
        </w:rPr>
        <w:t xml:space="preserve">[7] </w:t>
      </w:r>
      <w:r>
        <w:rPr>
          <w:rFonts w:ascii="Times New Roman" w:cs="Times New Roman" w:eastAsia="Times New Roman" w:hAnsi="Times New Roman"/>
          <w:b w:val="false"/>
          <w:bCs w:val="false"/>
          <w:i w:val="false"/>
          <w:iCs w:val="false"/>
          <w:sz w:val="24"/>
          <w:szCs w:val="24"/>
        </w:rPr>
        <w:t xml:space="preserve">Kennedy, J., Eberhart, R., </w:t>
      </w:r>
      <w:r>
        <w:rPr>
          <w:rFonts w:ascii="Times New Roman" w:cs="Times New Roman" w:eastAsia="Times New Roman" w:hAnsi="Times New Roman"/>
          <w:b w:val="false"/>
          <w:bCs w:val="false"/>
          <w:i/>
          <w:iCs/>
          <w:sz w:val="24"/>
          <w:szCs w:val="24"/>
        </w:rPr>
        <w:t xml:space="preserve">Particle swarm optimization</w:t>
      </w:r>
      <w:r>
        <w:rPr>
          <w:rFonts w:ascii="Times New Roman" w:cs="Times New Roman" w:eastAsia="Times New Roman" w:hAnsi="Times New Roman"/>
          <w:b w:val="false"/>
          <w:bCs w:val="false"/>
          <w:i w:val="false"/>
          <w:iCs w:val="false"/>
          <w:sz w:val="24"/>
          <w:szCs w:val="24"/>
        </w:rPr>
        <w:t xml:space="preserve">, Proceedings of ICNN 1995, pp. 1942–1948, ISBN 0-7803-2768-3, Perth, November 1995, IEEE.</w:t>
      </w:r>
    </w:p>
    <w:p>
      <w:pPr>
        <w:spacing w:after="60" w:before="60" w:line="240"/>
        <w:ind w:left="396" w:hanging="396"/>
        <w:jc w:val="both"/>
      </w:pPr>
      <w:r>
        <w:rPr>
          <w:rFonts w:ascii="Times New Roman" w:cs="Times New Roman" w:eastAsia="Times New Roman" w:hAnsi="Times New Roman"/>
          <w:sz w:val="24"/>
          <w:szCs w:val="24"/>
        </w:rPr>
        <w:t xml:space="preserve">[8] </w:t>
      </w:r>
      <w:r>
        <w:rPr>
          <w:rFonts w:ascii="Times New Roman" w:cs="Times New Roman" w:eastAsia="Times New Roman" w:hAnsi="Times New Roman"/>
          <w:b w:val="false"/>
          <w:bCs w:val="false"/>
          <w:i w:val="false"/>
          <w:iCs w:val="false"/>
          <w:sz w:val="24"/>
          <w:szCs w:val="24"/>
        </w:rPr>
        <w:t xml:space="preserve">Zhou, J., Cui, G., Hu, S., Zhang, Z., et al., </w:t>
      </w:r>
      <w:r>
        <w:rPr>
          <w:rFonts w:ascii="Times New Roman" w:cs="Times New Roman" w:eastAsia="Times New Roman" w:hAnsi="Times New Roman"/>
          <w:b w:val="false"/>
          <w:bCs w:val="false"/>
          <w:i/>
          <w:iCs/>
          <w:sz w:val="24"/>
          <w:szCs w:val="24"/>
        </w:rPr>
        <w:t xml:space="preserve">Graph neural networks: A review of methods and applications</w:t>
      </w:r>
      <w:r>
        <w:rPr>
          <w:rFonts w:ascii="Times New Roman" w:cs="Times New Roman" w:eastAsia="Times New Roman" w:hAnsi="Times New Roman"/>
          <w:b w:val="false"/>
          <w:bCs w:val="false"/>
          <w:i w:val="false"/>
          <w:iCs w:val="false"/>
          <w:sz w:val="24"/>
          <w:szCs w:val="24"/>
        </w:rPr>
        <w:t xml:space="preserve">, AI Open, Vol. 1, pp. 57–81, https://doi.org/10.1016/j.aiopen.2021.01.001, 2020.</w:t>
      </w:r>
    </w:p>
    <w:p>
      <w:pPr>
        <w:spacing w:after="60" w:before="60" w:line="240"/>
        <w:ind w:left="396" w:hanging="396"/>
        <w:jc w:val="both"/>
      </w:pPr>
      <w:r>
        <w:rPr>
          <w:rFonts w:ascii="Times New Roman" w:cs="Times New Roman" w:eastAsia="Times New Roman" w:hAnsi="Times New Roman"/>
          <w:sz w:val="24"/>
          <w:szCs w:val="24"/>
        </w:rPr>
        <w:t xml:space="preserve">[9] </w:t>
      </w:r>
      <w:r>
        <w:rPr>
          <w:rFonts w:ascii="Times New Roman" w:cs="Times New Roman" w:eastAsia="Times New Roman" w:hAnsi="Times New Roman"/>
          <w:b w:val="false"/>
          <w:bCs w:val="false"/>
          <w:i w:val="false"/>
          <w:iCs w:val="false"/>
          <w:sz w:val="24"/>
          <w:szCs w:val="24"/>
        </w:rPr>
        <w:t xml:space="preserve">European Parliament, </w:t>
      </w:r>
      <w:r>
        <w:rPr>
          <w:rFonts w:ascii="Times New Roman" w:cs="Times New Roman" w:eastAsia="Times New Roman" w:hAnsi="Times New Roman"/>
          <w:b w:val="false"/>
          <w:bCs w:val="false"/>
          <w:i/>
          <w:iCs/>
          <w:sz w:val="24"/>
          <w:szCs w:val="24"/>
        </w:rPr>
        <w:t xml:space="preserve">Corporate Sustainability Reporting Directive</w:t>
      </w:r>
      <w:r>
        <w:rPr>
          <w:rFonts w:ascii="Times New Roman" w:cs="Times New Roman" w:eastAsia="Times New Roman" w:hAnsi="Times New Roman"/>
          <w:b w:val="false"/>
          <w:bCs w:val="false"/>
          <w:i w:val="false"/>
          <w:iCs w:val="false"/>
          <w:sz w:val="24"/>
          <w:szCs w:val="24"/>
        </w:rPr>
        <w:t xml:space="preserve">, Directive 2022/2464/EU, Official Journal of the European Union, L 322, Brussels, 2022.</w:t>
      </w:r>
    </w:p>
    <w:p>
      <w:pPr>
        <w:spacing w:after="60" w:before="60" w:line="240"/>
        <w:ind w:left="396" w:hanging="396"/>
        <w:jc w:val="both"/>
      </w:pPr>
      <w:r>
        <w:rPr>
          <w:rFonts w:ascii="Times New Roman" w:cs="Times New Roman" w:eastAsia="Times New Roman" w:hAnsi="Times New Roman"/>
          <w:sz w:val="24"/>
          <w:szCs w:val="24"/>
        </w:rPr>
        <w:t xml:space="preserve">[10] </w:t>
      </w:r>
      <w:r>
        <w:rPr>
          <w:rFonts w:ascii="Times New Roman" w:cs="Times New Roman" w:eastAsia="Times New Roman" w:hAnsi="Times New Roman"/>
          <w:b w:val="false"/>
          <w:bCs w:val="false"/>
          <w:i w:val="false"/>
          <w:iCs w:val="false"/>
          <w:sz w:val="24"/>
          <w:szCs w:val="24"/>
        </w:rPr>
        <w:t xml:space="preserve">Arrieta, A.B., et al., </w:t>
      </w:r>
      <w:r>
        <w:rPr>
          <w:rFonts w:ascii="Times New Roman" w:cs="Times New Roman" w:eastAsia="Times New Roman" w:hAnsi="Times New Roman"/>
          <w:b w:val="false"/>
          <w:bCs w:val="false"/>
          <w:i/>
          <w:iCs/>
          <w:sz w:val="24"/>
          <w:szCs w:val="24"/>
        </w:rPr>
        <w:t xml:space="preserve">Explainable Artificial Intelligence (XAI): Concepts, taxonomies, opportunities and challenges toward responsible AI</w:t>
      </w:r>
      <w:r>
        <w:rPr>
          <w:rFonts w:ascii="Times New Roman" w:cs="Times New Roman" w:eastAsia="Times New Roman" w:hAnsi="Times New Roman"/>
          <w:b w:val="false"/>
          <w:bCs w:val="false"/>
          <w:i w:val="false"/>
          <w:iCs w:val="false"/>
          <w:sz w:val="24"/>
          <w:szCs w:val="24"/>
        </w:rPr>
        <w:t xml:space="preserve">, Information Fusion, Vol. 58, pp. 82–115, https://doi.org/10.1016/j.inffus.2019.12.012, 2020.</w:t>
      </w:r>
    </w:p>
    <w:p>
      <w:pPr>
        <w:spacing w:after="60" w:before="60" w:line="240"/>
        <w:ind w:left="396" w:hanging="396"/>
        <w:jc w:val="both"/>
      </w:pPr>
      <w:r>
        <w:rPr>
          <w:rFonts w:ascii="Times New Roman" w:cs="Times New Roman" w:eastAsia="Times New Roman" w:hAnsi="Times New Roman"/>
          <w:sz w:val="24"/>
          <w:szCs w:val="24"/>
        </w:rPr>
        <w:t xml:space="preserve">[11] </w:t>
      </w:r>
      <w:r>
        <w:rPr>
          <w:rFonts w:ascii="Times New Roman" w:cs="Times New Roman" w:eastAsia="Times New Roman" w:hAnsi="Times New Roman"/>
          <w:b w:val="false"/>
          <w:bCs w:val="false"/>
          <w:i w:val="false"/>
          <w:iCs w:val="false"/>
          <w:sz w:val="24"/>
          <w:szCs w:val="24"/>
        </w:rPr>
        <w:t xml:space="preserve">Breque, M., De Nul, L., Petridis, A., </w:t>
      </w:r>
      <w:r>
        <w:rPr>
          <w:rFonts w:ascii="Times New Roman" w:cs="Times New Roman" w:eastAsia="Times New Roman" w:hAnsi="Times New Roman"/>
          <w:b w:val="false"/>
          <w:bCs w:val="false"/>
          <w:i/>
          <w:iCs/>
          <w:sz w:val="24"/>
          <w:szCs w:val="24"/>
        </w:rPr>
        <w:t xml:space="preserve">Industry 5.0: Towards a Sustainable, Human-Centric and Resilient European Industry</w:t>
      </w:r>
      <w:r>
        <w:rPr>
          <w:rFonts w:ascii="Times New Roman" w:cs="Times New Roman" w:eastAsia="Times New Roman" w:hAnsi="Times New Roman"/>
          <w:b w:val="false"/>
          <w:bCs w:val="false"/>
          <w:i w:val="false"/>
          <w:iCs w:val="false"/>
          <w:sz w:val="24"/>
          <w:szCs w:val="24"/>
        </w:rPr>
        <w:t xml:space="preserve">, European Commission, https://doi.org/10.2777/308407, Luxembourg, 2021.</w:t>
      </w:r>
    </w:p>
    <w:p>
      <w:pPr>
        <w:spacing w:after="60" w:before="60" w:line="240"/>
        <w:ind w:left="396" w:hanging="396"/>
        <w:jc w:val="both"/>
      </w:pPr>
      <w:r>
        <w:rPr>
          <w:rFonts w:ascii="Times New Roman" w:cs="Times New Roman" w:eastAsia="Times New Roman" w:hAnsi="Times New Roman"/>
          <w:sz w:val="24"/>
          <w:szCs w:val="24"/>
        </w:rPr>
        <w:t xml:space="preserve">[12] </w:t>
      </w:r>
      <w:r>
        <w:rPr>
          <w:rFonts w:ascii="Times New Roman" w:cs="Times New Roman" w:eastAsia="Times New Roman" w:hAnsi="Times New Roman"/>
          <w:b w:val="false"/>
          <w:bCs w:val="false"/>
          <w:i w:val="false"/>
          <w:iCs w:val="false"/>
          <w:sz w:val="24"/>
          <w:szCs w:val="24"/>
        </w:rPr>
        <w:t xml:space="preserve">Saaty, T.L., </w:t>
      </w:r>
      <w:r>
        <w:rPr>
          <w:rFonts w:ascii="Times New Roman" w:cs="Times New Roman" w:eastAsia="Times New Roman" w:hAnsi="Times New Roman"/>
          <w:b w:val="false"/>
          <w:bCs w:val="false"/>
          <w:i/>
          <w:iCs/>
          <w:sz w:val="24"/>
          <w:szCs w:val="24"/>
        </w:rPr>
        <w:t xml:space="preserve">The Analytic Hierarchy Process: Planning, Priority Setting, Resource Allocation</w:t>
      </w:r>
      <w:r>
        <w:rPr>
          <w:rFonts w:ascii="Times New Roman" w:cs="Times New Roman" w:eastAsia="Times New Roman" w:hAnsi="Times New Roman"/>
          <w:b w:val="false"/>
          <w:bCs w:val="false"/>
          <w:i w:val="false"/>
          <w:iCs w:val="false"/>
          <w:sz w:val="24"/>
          <w:szCs w:val="24"/>
        </w:rPr>
        <w:t xml:space="preserve">, McGraw-Hill, ISBN 0-07-054371-2, New York, 1980.</w:t>
      </w:r>
    </w:p>
    <w:p>
      <w:pPr>
        <w:spacing w:after="60" w:before="60" w:line="240"/>
        <w:ind w:left="396" w:hanging="396"/>
        <w:jc w:val="both"/>
      </w:pPr>
      <w:r>
        <w:rPr>
          <w:rFonts w:ascii="Times New Roman" w:cs="Times New Roman" w:eastAsia="Times New Roman" w:hAnsi="Times New Roman"/>
          <w:sz w:val="24"/>
          <w:szCs w:val="24"/>
        </w:rPr>
        <w:t xml:space="preserve">[13] </w:t>
      </w:r>
      <w:r>
        <w:rPr>
          <w:rFonts w:ascii="Times New Roman" w:cs="Times New Roman" w:eastAsia="Times New Roman" w:hAnsi="Times New Roman"/>
          <w:b w:val="false"/>
          <w:bCs w:val="false"/>
          <w:i w:val="false"/>
          <w:iCs w:val="false"/>
          <w:sz w:val="24"/>
          <w:szCs w:val="24"/>
        </w:rPr>
        <w:t xml:space="preserve">Glasserman, P., </w:t>
      </w:r>
      <w:r>
        <w:rPr>
          <w:rFonts w:ascii="Times New Roman" w:cs="Times New Roman" w:eastAsia="Times New Roman" w:hAnsi="Times New Roman"/>
          <w:b w:val="false"/>
          <w:bCs w:val="false"/>
          <w:i/>
          <w:iCs/>
          <w:sz w:val="24"/>
          <w:szCs w:val="24"/>
        </w:rPr>
        <w:t xml:space="preserve">Monte Carlo Methods in Financial Engineering</w:t>
      </w:r>
      <w:r>
        <w:rPr>
          <w:rFonts w:ascii="Times New Roman" w:cs="Times New Roman" w:eastAsia="Times New Roman" w:hAnsi="Times New Roman"/>
          <w:b w:val="false"/>
          <w:bCs w:val="false"/>
          <w:i w:val="false"/>
          <w:iCs w:val="false"/>
          <w:sz w:val="24"/>
          <w:szCs w:val="24"/>
        </w:rPr>
        <w:t xml:space="preserve">, Springer, ISBN 978-0-387-21492-6, New York, 2004.</w:t>
      </w:r>
    </w:p>
    <w:p>
      <w:pPr>
        <w:spacing w:after="60" w:before="60" w:line="240"/>
        <w:ind w:left="396" w:hanging="396"/>
        <w:jc w:val="both"/>
      </w:pPr>
      <w:r>
        <w:rPr>
          <w:rFonts w:ascii="Times New Roman" w:cs="Times New Roman" w:eastAsia="Times New Roman" w:hAnsi="Times New Roman"/>
          <w:sz w:val="24"/>
          <w:szCs w:val="24"/>
        </w:rPr>
        <w:t xml:space="preserve">[14] </w:t>
      </w:r>
      <w:r>
        <w:rPr>
          <w:rFonts w:ascii="Times New Roman" w:cs="Times New Roman" w:eastAsia="Times New Roman" w:hAnsi="Times New Roman"/>
          <w:b w:val="false"/>
          <w:bCs w:val="false"/>
          <w:i w:val="false"/>
          <w:iCs w:val="false"/>
          <w:sz w:val="24"/>
          <w:szCs w:val="24"/>
        </w:rPr>
        <w:t xml:space="preserve">Zio, E., </w:t>
      </w:r>
      <w:r>
        <w:rPr>
          <w:rFonts w:ascii="Times New Roman" w:cs="Times New Roman" w:eastAsia="Times New Roman" w:hAnsi="Times New Roman"/>
          <w:b w:val="false"/>
          <w:bCs w:val="false"/>
          <w:i/>
          <w:iCs/>
          <w:sz w:val="24"/>
          <w:szCs w:val="24"/>
        </w:rPr>
        <w:t xml:space="preserve">The Monte Carlo Simulation Method for System Reliability and Risk Analysis</w:t>
      </w:r>
      <w:r>
        <w:rPr>
          <w:rFonts w:ascii="Times New Roman" w:cs="Times New Roman" w:eastAsia="Times New Roman" w:hAnsi="Times New Roman"/>
          <w:b w:val="false"/>
          <w:bCs w:val="false"/>
          <w:i w:val="false"/>
          <w:iCs w:val="false"/>
          <w:sz w:val="24"/>
          <w:szCs w:val="24"/>
        </w:rPr>
        <w:t xml:space="preserve">, Springer, ISBN 978-1-4471-4588-2, London, 2013.</w:t>
      </w:r>
    </w:p>
    <w:p>
      <w:pPr>
        <w:spacing w:after="60" w:before="60" w:line="240"/>
        <w:ind w:left="396" w:hanging="396"/>
        <w:jc w:val="both"/>
      </w:pPr>
      <w:r>
        <w:rPr>
          <w:rFonts w:ascii="Times New Roman" w:cs="Times New Roman" w:eastAsia="Times New Roman" w:hAnsi="Times New Roman"/>
          <w:sz w:val="24"/>
          <w:szCs w:val="24"/>
        </w:rPr>
        <w:t xml:space="preserve">[15] </w:t>
      </w:r>
      <w:r>
        <w:rPr>
          <w:rFonts w:ascii="Times New Roman" w:cs="Times New Roman" w:eastAsia="Times New Roman" w:hAnsi="Times New Roman"/>
          <w:b w:val="false"/>
          <w:bCs w:val="false"/>
          <w:i w:val="false"/>
          <w:iCs w:val="false"/>
          <w:sz w:val="24"/>
          <w:szCs w:val="24"/>
        </w:rPr>
        <w:t xml:space="preserve">ENTSO-E, </w:t>
      </w:r>
      <w:r>
        <w:rPr>
          <w:rFonts w:ascii="Times New Roman" w:cs="Times New Roman" w:eastAsia="Times New Roman" w:hAnsi="Times New Roman"/>
          <w:b w:val="false"/>
          <w:bCs w:val="false"/>
          <w:i/>
          <w:iCs/>
          <w:sz w:val="24"/>
          <w:szCs w:val="24"/>
        </w:rPr>
        <w:t xml:space="preserve">Statistical Factsheet 2022</w:t>
      </w:r>
      <w:r>
        <w:rPr>
          <w:rFonts w:ascii="Times New Roman" w:cs="Times New Roman" w:eastAsia="Times New Roman" w:hAnsi="Times New Roman"/>
          <w:b w:val="false"/>
          <w:bCs w:val="false"/>
          <w:i w:val="false"/>
          <w:iCs w:val="false"/>
          <w:sz w:val="24"/>
          <w:szCs w:val="24"/>
        </w:rPr>
        <w:t xml:space="preserve">, European Network of Transmission System Operators for Electricity, https://www.entsoe.eu/publications/statistics/, Brussels, 2023.</w:t>
      </w:r>
    </w:p>
    <w:p>
      <w:pPr>
        <w:spacing w:after="60" w:before="60" w:line="240"/>
        <w:ind w:left="396" w:hanging="396"/>
        <w:jc w:val="both"/>
      </w:pPr>
      <w:r>
        <w:rPr>
          <w:rFonts w:ascii="Times New Roman" w:cs="Times New Roman" w:eastAsia="Times New Roman" w:hAnsi="Times New Roman"/>
          <w:sz w:val="24"/>
          <w:szCs w:val="24"/>
        </w:rPr>
        <w:t xml:space="preserve">[16] </w:t>
      </w:r>
      <w:r>
        <w:rPr>
          <w:rFonts w:ascii="Times New Roman" w:cs="Times New Roman" w:eastAsia="Times New Roman" w:hAnsi="Times New Roman"/>
          <w:b w:val="false"/>
          <w:bCs w:val="false"/>
          <w:i w:val="false"/>
          <w:iCs w:val="false"/>
          <w:sz w:val="24"/>
          <w:szCs w:val="24"/>
        </w:rPr>
        <w:t xml:space="preserve">European Parliament, </w:t>
      </w:r>
      <w:r>
        <w:rPr>
          <w:rFonts w:ascii="Times New Roman" w:cs="Times New Roman" w:eastAsia="Times New Roman" w:hAnsi="Times New Roman"/>
          <w:b w:val="false"/>
          <w:bCs w:val="false"/>
          <w:i/>
          <w:iCs/>
          <w:sz w:val="24"/>
          <w:szCs w:val="24"/>
        </w:rPr>
        <w:t xml:space="preserve">Artificial Intelligence Act</w:t>
      </w:r>
      <w:r>
        <w:rPr>
          <w:rFonts w:ascii="Times New Roman" w:cs="Times New Roman" w:eastAsia="Times New Roman" w:hAnsi="Times New Roman"/>
          <w:b w:val="false"/>
          <w:bCs w:val="false"/>
          <w:i w:val="false"/>
          <w:iCs w:val="false"/>
          <w:sz w:val="24"/>
          <w:szCs w:val="24"/>
        </w:rPr>
        <w:t xml:space="preserve">, Regulation (EU) 2024/1689, Official Journal of the European Union, L 2024/1689, Brussels, 2024.</w:t>
      </w:r>
    </w:p>
    <w:p>
      <w:pPr>
        <w:spacing w:after="60" w:before="60" w:line="240"/>
        <w:ind w:left="396" w:hanging="396"/>
        <w:jc w:val="both"/>
      </w:pPr>
      <w:r>
        <w:rPr>
          <w:rFonts w:ascii="Times New Roman" w:cs="Times New Roman" w:eastAsia="Times New Roman" w:hAnsi="Times New Roman"/>
          <w:sz w:val="24"/>
          <w:szCs w:val="24"/>
        </w:rPr>
        <w:t xml:space="preserve">[17] </w:t>
      </w:r>
      <w:r>
        <w:rPr>
          <w:rFonts w:ascii="Times New Roman" w:cs="Times New Roman" w:eastAsia="Times New Roman" w:hAnsi="Times New Roman"/>
          <w:b w:val="false"/>
          <w:bCs w:val="false"/>
          <w:i w:val="false"/>
          <w:iCs w:val="false"/>
          <w:sz w:val="24"/>
          <w:szCs w:val="24"/>
        </w:rPr>
        <w:t xml:space="preserve">Markowitz, H., </w:t>
      </w:r>
      <w:r>
        <w:rPr>
          <w:rFonts w:ascii="Times New Roman" w:cs="Times New Roman" w:eastAsia="Times New Roman" w:hAnsi="Times New Roman"/>
          <w:b w:val="false"/>
          <w:bCs w:val="false"/>
          <w:i/>
          <w:iCs/>
          <w:sz w:val="24"/>
          <w:szCs w:val="24"/>
        </w:rPr>
        <w:t xml:space="preserve">Portfolio Selection</w:t>
      </w:r>
      <w:r>
        <w:rPr>
          <w:rFonts w:ascii="Times New Roman" w:cs="Times New Roman" w:eastAsia="Times New Roman" w:hAnsi="Times New Roman"/>
          <w:b w:val="false"/>
          <w:bCs w:val="false"/>
          <w:i w:val="false"/>
          <w:iCs w:val="false"/>
          <w:sz w:val="24"/>
          <w:szCs w:val="24"/>
        </w:rPr>
        <w:t xml:space="preserve">, The Journal of Finance, Vol. 7, Issue 1, pp. 77–91, https://doi.org/10.2307/2975974, 1952.</w:t>
      </w:r>
    </w:p>
    <w:p>
      <w:pPr>
        <w:spacing w:after="60" w:before="60" w:line="240"/>
        <w:ind w:left="396" w:hanging="396"/>
        <w:jc w:val="both"/>
      </w:pPr>
      <w:r>
        <w:rPr>
          <w:rFonts w:ascii="Times New Roman" w:cs="Times New Roman" w:eastAsia="Times New Roman" w:hAnsi="Times New Roman"/>
          <w:sz w:val="24"/>
          <w:szCs w:val="24"/>
        </w:rPr>
        <w:t xml:space="preserve">[18] </w:t>
      </w:r>
      <w:r>
        <w:rPr>
          <w:rFonts w:ascii="Times New Roman" w:cs="Times New Roman" w:eastAsia="Times New Roman" w:hAnsi="Times New Roman"/>
          <w:b w:val="false"/>
          <w:bCs w:val="false"/>
          <w:i w:val="false"/>
          <w:iCs w:val="false"/>
          <w:sz w:val="24"/>
          <w:szCs w:val="24"/>
        </w:rPr>
        <w:t xml:space="preserve">Lundberg, S.M., Lee, S.-I., </w:t>
      </w:r>
      <w:r>
        <w:rPr>
          <w:rFonts w:ascii="Times New Roman" w:cs="Times New Roman" w:eastAsia="Times New Roman" w:hAnsi="Times New Roman"/>
          <w:b w:val="false"/>
          <w:bCs w:val="false"/>
          <w:i/>
          <w:iCs/>
          <w:sz w:val="24"/>
          <w:szCs w:val="24"/>
        </w:rPr>
        <w:t xml:space="preserve">A Unified Approach to Interpreting Model Predictions</w:t>
      </w:r>
      <w:r>
        <w:rPr>
          <w:rFonts w:ascii="Times New Roman" w:cs="Times New Roman" w:eastAsia="Times New Roman" w:hAnsi="Times New Roman"/>
          <w:b w:val="false"/>
          <w:bCs w:val="false"/>
          <w:i w:val="false"/>
          <w:iCs w:val="false"/>
          <w:sz w:val="24"/>
          <w:szCs w:val="24"/>
        </w:rPr>
        <w:t xml:space="preserve">, Advances in Neural Information Processing Systems (NeurIPS), Vol. 30, pp. 4765–4774, Long Beach, USA, 2017.</w:t>
      </w:r>
    </w:p>
    <w:p>
      <w:pPr>
        <w:spacing w:after="60" w:before="60" w:line="240"/>
        <w:ind w:left="396" w:hanging="396"/>
        <w:jc w:val="both"/>
      </w:pPr>
      <w:r>
        <w:rPr>
          <w:rFonts w:ascii="Times New Roman" w:cs="Times New Roman" w:eastAsia="Times New Roman" w:hAnsi="Times New Roman"/>
          <w:sz w:val="24"/>
          <w:szCs w:val="24"/>
        </w:rPr>
        <w:t xml:space="preserve">[19] </w:t>
      </w:r>
      <w:r>
        <w:rPr>
          <w:rFonts w:ascii="Times New Roman" w:cs="Times New Roman" w:eastAsia="Times New Roman" w:hAnsi="Times New Roman"/>
          <w:b w:val="false"/>
          <w:bCs w:val="false"/>
          <w:i w:val="false"/>
          <w:iCs w:val="false"/>
          <w:sz w:val="24"/>
          <w:szCs w:val="24"/>
        </w:rPr>
        <w:t xml:space="preserve">European Parliament, </w:t>
      </w:r>
      <w:r>
        <w:rPr>
          <w:rFonts w:ascii="Times New Roman" w:cs="Times New Roman" w:eastAsia="Times New Roman" w:hAnsi="Times New Roman"/>
          <w:b w:val="false"/>
          <w:bCs w:val="false"/>
          <w:i/>
          <w:iCs/>
          <w:sz w:val="24"/>
          <w:szCs w:val="24"/>
        </w:rPr>
        <w:t xml:space="preserve">Taxonomy Regulation</w:t>
      </w:r>
      <w:r>
        <w:rPr>
          <w:rFonts w:ascii="Times New Roman" w:cs="Times New Roman" w:eastAsia="Times New Roman" w:hAnsi="Times New Roman"/>
          <w:b w:val="false"/>
          <w:bCs w:val="false"/>
          <w:i w:val="false"/>
          <w:iCs w:val="false"/>
          <w:sz w:val="24"/>
          <w:szCs w:val="24"/>
        </w:rPr>
        <w:t xml:space="preserve">, Regulation (EU) 2020/852, Official Journal of the European Union, L 198/13, Brussels, 2020.</w:t>
      </w:r>
    </w:p>
    <w:p>
      <w:pPr>
        <w:spacing w:after="60" w:before="60" w:line="240"/>
        <w:ind w:left="396" w:hanging="396"/>
        <w:jc w:val="both"/>
      </w:pPr>
      <w:r>
        <w:rPr>
          <w:rFonts w:ascii="Times New Roman" w:cs="Times New Roman" w:eastAsia="Times New Roman" w:hAnsi="Times New Roman"/>
          <w:sz w:val="24"/>
          <w:szCs w:val="24"/>
        </w:rPr>
        <w:t xml:space="preserve">[20] </w:t>
      </w:r>
      <w:r>
        <w:rPr>
          <w:rFonts w:ascii="Times New Roman" w:cs="Times New Roman" w:eastAsia="Times New Roman" w:hAnsi="Times New Roman"/>
          <w:b w:val="false"/>
          <w:bCs w:val="false"/>
          <w:i w:val="false"/>
          <w:iCs w:val="false"/>
          <w:sz w:val="24"/>
          <w:szCs w:val="24"/>
        </w:rPr>
        <w:t xml:space="preserve">Coello Coello, C.A., Lamont, G.B., Van Veldhuizen, D.A., </w:t>
      </w:r>
      <w:r>
        <w:rPr>
          <w:rFonts w:ascii="Times New Roman" w:cs="Times New Roman" w:eastAsia="Times New Roman" w:hAnsi="Times New Roman"/>
          <w:b w:val="false"/>
          <w:bCs w:val="false"/>
          <w:i/>
          <w:iCs/>
          <w:sz w:val="24"/>
          <w:szCs w:val="24"/>
        </w:rPr>
        <w:t xml:space="preserve">Evolutionary Algorithms for Solving Multi-Objective Problems</w:t>
      </w:r>
      <w:r>
        <w:rPr>
          <w:rFonts w:ascii="Times New Roman" w:cs="Times New Roman" w:eastAsia="Times New Roman" w:hAnsi="Times New Roman"/>
          <w:b w:val="false"/>
          <w:bCs w:val="false"/>
          <w:i w:val="false"/>
          <w:iCs w:val="false"/>
          <w:sz w:val="24"/>
          <w:szCs w:val="24"/>
        </w:rPr>
        <w:t xml:space="preserve">, 2nd ed., Springer, ISBN 978-0-387-33254-3, New York, 2007.</w:t>
      </w:r>
    </w:p>
    <w:p>
      <w:pPr>
        <w:spacing w:after="60" w:before="60" w:line="240"/>
        <w:ind w:left="396" w:hanging="396"/>
        <w:jc w:val="both"/>
      </w:pPr>
      <w:r>
        <w:rPr>
          <w:rFonts w:ascii="Times New Roman" w:cs="Times New Roman" w:eastAsia="Times New Roman" w:hAnsi="Times New Roman"/>
          <w:sz w:val="24"/>
          <w:szCs w:val="24"/>
        </w:rPr>
        <w:t xml:space="preserve">[21] </w:t>
      </w:r>
      <w:r>
        <w:rPr>
          <w:rFonts w:ascii="Times New Roman" w:cs="Times New Roman" w:eastAsia="Times New Roman" w:hAnsi="Times New Roman"/>
          <w:b w:val="false"/>
          <w:bCs w:val="false"/>
          <w:i w:val="false"/>
          <w:iCs w:val="false"/>
          <w:sz w:val="24"/>
          <w:szCs w:val="24"/>
        </w:rPr>
        <w:t xml:space="preserve">Rockafellar, R.T., Uryasev, S., </w:t>
      </w:r>
      <w:r>
        <w:rPr>
          <w:rFonts w:ascii="Times New Roman" w:cs="Times New Roman" w:eastAsia="Times New Roman" w:hAnsi="Times New Roman"/>
          <w:b w:val="false"/>
          <w:bCs w:val="false"/>
          <w:i/>
          <w:iCs/>
          <w:sz w:val="24"/>
          <w:szCs w:val="24"/>
        </w:rPr>
        <w:t xml:space="preserve">Optimization of Conditional Value-at-Risk</w:t>
      </w:r>
      <w:r>
        <w:rPr>
          <w:rFonts w:ascii="Times New Roman" w:cs="Times New Roman" w:eastAsia="Times New Roman" w:hAnsi="Times New Roman"/>
          <w:b w:val="false"/>
          <w:bCs w:val="false"/>
          <w:i w:val="false"/>
          <w:iCs w:val="false"/>
          <w:sz w:val="24"/>
          <w:szCs w:val="24"/>
        </w:rPr>
        <w:t xml:space="preserve">, Journal of Risk, Vol. 2, Issue 3, pp. 21–42, https://doi.org/10.21314/JOR.2000.038, 2000.</w:t>
      </w:r>
    </w:p>
    <w:p>
      <w:pPr>
        <w:spacing w:after="60" w:before="60" w:line="240"/>
        <w:ind w:left="396" w:hanging="396"/>
        <w:jc w:val="both"/>
      </w:pPr>
      <w:r>
        <w:rPr>
          <w:rFonts w:ascii="Times New Roman" w:cs="Times New Roman" w:eastAsia="Times New Roman" w:hAnsi="Times New Roman"/>
          <w:sz w:val="24"/>
          <w:szCs w:val="24"/>
        </w:rPr>
        <w:t xml:space="preserve">[22] </w:t>
      </w:r>
      <w:r>
        <w:rPr>
          <w:rFonts w:ascii="Times New Roman" w:cs="Times New Roman" w:eastAsia="Times New Roman" w:hAnsi="Times New Roman"/>
          <w:b w:val="false"/>
          <w:bCs w:val="false"/>
          <w:i w:val="false"/>
          <w:iCs w:val="false"/>
          <w:sz w:val="24"/>
          <w:szCs w:val="24"/>
        </w:rPr>
        <w:t xml:space="preserve">Xu, X., Lu, Y., Vogel-Heuser, B., Wang, L., </w:t>
      </w:r>
      <w:r>
        <w:rPr>
          <w:rFonts w:ascii="Times New Roman" w:cs="Times New Roman" w:eastAsia="Times New Roman" w:hAnsi="Times New Roman"/>
          <w:b w:val="false"/>
          <w:bCs w:val="false"/>
          <w:i/>
          <w:iCs/>
          <w:sz w:val="24"/>
          <w:szCs w:val="24"/>
        </w:rPr>
        <w:t xml:space="preserve">Industry 4.0 and Industry 5.0 — Inception, conception and perception</w:t>
      </w:r>
      <w:r>
        <w:rPr>
          <w:rFonts w:ascii="Times New Roman" w:cs="Times New Roman" w:eastAsia="Times New Roman" w:hAnsi="Times New Roman"/>
          <w:b w:val="false"/>
          <w:bCs w:val="false"/>
          <w:i w:val="false"/>
          <w:iCs w:val="false"/>
          <w:sz w:val="24"/>
          <w:szCs w:val="24"/>
        </w:rPr>
        <w:t xml:space="preserve">, Journal of Manufacturing Systems, Vol. 61, pp. 530–535, https://doi.org/10.1016/j.jmsy.2021.10.006, 2021.</w:t>
      </w:r>
    </w:p>
    <w:p>
      <w:pPr>
        <w:spacing w:line="240"/>
      </w:pPr>
      <w:r>
        <w:rPr>
          <w:rFonts w:ascii="Times New Roman" w:cs="Times New Roman" w:eastAsia="Times New Roman" w:hAnsi="Times New Roman"/>
          <w:sz w:val="24"/>
          <w:szCs w:val="24"/>
        </w:rPr>
        <w:t xml:space="preserve"/>
      </w:r>
    </w:p>
    <w:p>
      <w:pPr>
        <w:spacing w:after="80" w:before="120" w:line="240"/>
        <w:jc w:val="center"/>
      </w:pPr>
      <w:r>
        <w:rPr>
          <w:rFonts w:ascii="Times New Roman" w:cs="Times New Roman" w:eastAsia="Times New Roman" w:hAnsi="Times New Roman"/>
          <w:b/>
          <w:bCs/>
          <w:sz w:val="20"/>
          <w:szCs w:val="20"/>
        </w:rPr>
        <w:t xml:space="preserve">Reziliență Bazată pe Inteligență Artificială: Optimizarea Portofoliilor Industriale Mari în Era Managementului Ingineresc 5.0</w:t>
      </w:r>
    </w:p>
    <w:p>
      <w:pPr>
        <w:spacing w:after="120" w:before="80" w:line="240"/>
        <w:jc w:val="both"/>
      </w:pPr>
      <w:r>
        <w:rPr>
          <w:rFonts w:ascii="Times New Roman" w:cs="Times New Roman" w:eastAsia="Times New Roman" w:hAnsi="Times New Roman"/>
          <w:b/>
          <w:bCs/>
          <w:i/>
          <w:iCs/>
          <w:sz w:val="20"/>
          <w:szCs w:val="20"/>
        </w:rPr>
        <w:t xml:space="preserve">Rezumat: </w:t>
      </w:r>
      <w:r>
        <w:rPr>
          <w:rFonts w:ascii="Times New Roman" w:cs="Times New Roman" w:eastAsia="Times New Roman" w:hAnsi="Times New Roman"/>
          <w:i/>
          <w:iCs/>
          <w:sz w:val="20"/>
          <w:szCs w:val="20"/>
        </w:rPr>
        <w:t xml:space="preserve">Complexitatea crescândă a portofoliilor industriale mari necesită cadre de suport decizional care depășesc paradigmele de optimizare tradiționale. Această lucrare propune un model hibrid bazat pe inteligență artificială — Optimizatorul AI de Portofoliu Industrial (IPAO) — care integrează optimizarea multi-obiectiv (NSGA-II), simularea Monte Carlo și procesul analitic ierarhic (AHP) pentru optimizarea alocării în condiții de incertitudine. Validat pe un portofoliu sintetic de 48 de active din sectorul energetic, IPAO demonstrează o îmbunătățire de 29,2% față de optimizarea medie-varianță, o creștere de 65,8% a conformității ESG și o reducere de 34,2% a riscului de coadă (VaR95). Modulul de explicabilitate bazat pe SHAP asigură conformitatea cu cerințele de transparență ale Regulamentului UE privind Inteligența Artificială. Cadrul operaționalizează triada Industriei 5.0 — tehnologie, sustenabilitate și centricitate umană — într-o arhitectură unitară, auditabilă, pentru managementul ingineresc.</w:t>
      </w:r>
    </w:p>
    <w:p>
      <w:pPr>
        <w:spacing w:line="240"/>
      </w:pPr>
      <w:r>
        <w:rPr>
          <w:rFonts w:ascii="Times New Roman" w:cs="Times New Roman" w:eastAsia="Times New Roman" w:hAnsi="Times New Roman"/>
          <w:sz w:val="24"/>
          <w:szCs w:val="24"/>
        </w:rPr>
        <w:t xml:space="preserve"/>
      </w:r>
    </w:p>
    <w:p>
      <w:pPr>
        <w:spacing w:after="0" w:before="0" w:line="240"/>
        <w:jc w:val="both"/>
      </w:pPr>
      <w:r>
        <w:rPr>
          <w:rFonts w:ascii="Times New Roman" w:cs="Times New Roman" w:eastAsia="Times New Roman" w:hAnsi="Times New Roman"/>
          <w:b/>
          <w:bCs/>
          <w:i w:val="false"/>
          <w:iCs w:val="false"/>
          <w:sz w:val="24"/>
          <w:szCs w:val="24"/>
        </w:rPr>
        <w:t xml:space="preserve">Alexandru-Silviu GOGA</w:t>
      </w:r>
      <w:r>
        <w:rPr>
          <w:rFonts w:ascii="Times New Roman" w:cs="Times New Roman" w:eastAsia="Times New Roman" w:hAnsi="Times New Roman"/>
          <w:b w:val="false"/>
          <w:bCs w:val="false"/>
          <w:i w:val="false"/>
          <w:iCs w:val="false"/>
          <w:sz w:val="24"/>
          <w:szCs w:val="24"/>
        </w:rPr>
        <w:t xml:space="preserve">, PhD Candidate (drd.), Faculty of Management and Innovation in Technology (ITMI), Transilvania University of Brașov (UNITBV); avocat, AD PALANTIR SRL, Brașov, Romania. Research interests: industrial portfolio optimization, AI governance and the EU AI Act, public procurement law and FIDIC contract management, ESG compliance for large infrastructure operators, multi-objective decision frameworks for engineering management. E-mail: contact@adpalantir.ro</w:t>
      </w:r>
    </w:p>
    <w:p>
      <w:pPr>
        <w:spacing w:after="0" w:before="0" w:line="240"/>
        <w:jc w:val="both"/>
      </w:pPr>
      <w:r>
        <w:rPr>
          <w:rFonts w:ascii="Times New Roman" w:cs="Times New Roman" w:eastAsia="Times New Roman" w:hAnsi="Times New Roman"/>
          <w:b/>
          <w:bCs/>
          <w:i w:val="false"/>
          <w:iCs w:val="false"/>
          <w:sz w:val="24"/>
          <w:szCs w:val="24"/>
        </w:rPr>
        <w:t xml:space="preserve">Mircea BOȘCOIANU</w:t>
      </w:r>
      <w:r>
        <w:rPr>
          <w:rFonts w:ascii="Times New Roman" w:cs="Times New Roman" w:eastAsia="Times New Roman" w:hAnsi="Times New Roman"/>
          <w:b w:val="false"/>
          <w:bCs w:val="false"/>
          <w:i w:val="false"/>
          <w:iCs w:val="false"/>
          <w:sz w:val="24"/>
          <w:szCs w:val="24"/>
        </w:rPr>
        <w:t xml:space="preserve">, Professor PhD., Faculty of Management and Innovation in Technology (ITMI), Transilvania University of Brașov, Colina Universității 1, 500068 Brașov, Romania. Research interests: financial engineering, risk modelling and management, innovation and technology management, complex industrial systems, decision-support architectures under uncertainty, and the strategic dimensions of Industry 5.0 transformation.</w:t>
      </w:r>
    </w:p>
    <w:sectPr>
      <w:type w:val="continuous"/>
      <w:pgSz w:w="11906" w:h="16838" w:orient="portrait"/>
      <w:pgMar w:top="1417" w:right="850" w:bottom="1417" w:left="1417" w:header="1190" w:footer="708" w:gutter="0"/>
      <w:pgNumType/>
      <w:cols w:space="396" w:num="2" w:equalWidth="tru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AI-Driven Resilience: Optimizing Large Industrial Portfolios</dc:title>
  <dc:creator>GOGA &amp; BOȘCOIANU</dc:creator>
  <dc:description>RMEE 2026 — Acta Technica Napocensis submission</dc:description>
  <cp:lastModifiedBy>Un-named</cp:lastModifiedBy>
  <cp:revision>1</cp:revision>
  <dcterms:created xsi:type="dcterms:W3CDTF">2026-05-03T17:32:52.383Z</dcterms:created>
  <dcterms:modified xsi:type="dcterms:W3CDTF">2026-05-03T17:32:52.383Z</dcterms:modified>
</cp:coreProperties>
</file>

<file path=docProps/custom.xml><?xml version="1.0" encoding="utf-8"?>
<Properties xmlns="http://schemas.openxmlformats.org/officeDocument/2006/custom-properties" xmlns:vt="http://schemas.openxmlformats.org/officeDocument/2006/docPropsVTypes"/>
</file>